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eastAsia="方正小标宋简体"/>
          <w:color w:val="000000"/>
          <w:sz w:val="72"/>
          <w:szCs w:val="72"/>
        </w:rPr>
      </w:pPr>
      <w:bookmarkStart w:id="0" w:name="_Toc15306267"/>
    </w:p>
    <w:p>
      <w:pPr>
        <w:spacing w:line="600" w:lineRule="exact"/>
        <w:jc w:val="center"/>
        <w:outlineLvl w:val="0"/>
        <w:rPr>
          <w:rFonts w:eastAsia="方正小标宋简体"/>
          <w:color w:val="000000"/>
          <w:sz w:val="72"/>
          <w:szCs w:val="72"/>
        </w:rPr>
      </w:pPr>
    </w:p>
    <w:p>
      <w:pPr>
        <w:spacing w:line="600" w:lineRule="exact"/>
        <w:jc w:val="center"/>
        <w:outlineLvl w:val="0"/>
        <w:rPr>
          <w:rFonts w:eastAsia="方正小标宋简体"/>
          <w:color w:val="000000"/>
          <w:sz w:val="72"/>
          <w:szCs w:val="72"/>
        </w:rPr>
      </w:pPr>
    </w:p>
    <w:p>
      <w:pPr>
        <w:spacing w:line="600" w:lineRule="exact"/>
        <w:jc w:val="center"/>
        <w:outlineLvl w:val="0"/>
        <w:rPr>
          <w:rFonts w:eastAsia="方正小标宋简体"/>
          <w:color w:val="000000"/>
          <w:sz w:val="72"/>
          <w:szCs w:val="72"/>
        </w:rPr>
      </w:pPr>
    </w:p>
    <w:p>
      <w:pPr>
        <w:spacing w:line="600" w:lineRule="exact"/>
        <w:jc w:val="center"/>
        <w:outlineLvl w:val="0"/>
        <w:rPr>
          <w:rFonts w:eastAsia="方正小标宋简体"/>
          <w:color w:val="000000"/>
          <w:sz w:val="72"/>
          <w:szCs w:val="72"/>
        </w:rPr>
      </w:pPr>
    </w:p>
    <w:p>
      <w:pPr>
        <w:adjustRightInd w:val="0"/>
        <w:snapToGrid w:val="0"/>
        <w:spacing w:line="360" w:lineRule="auto"/>
        <w:jc w:val="center"/>
        <w:outlineLvl w:val="0"/>
        <w:rPr>
          <w:rFonts w:eastAsia="方正小标宋简体"/>
          <w:b/>
          <w:color w:val="000000"/>
          <w:sz w:val="52"/>
          <w:szCs w:val="52"/>
        </w:rPr>
      </w:pPr>
      <w:bookmarkStart w:id="1" w:name="_Toc15377193"/>
      <w:bookmarkStart w:id="2" w:name="_Toc15396597"/>
      <w:bookmarkStart w:id="3" w:name="_Toc15396475"/>
      <w:bookmarkStart w:id="4" w:name="_Toc15377425"/>
      <w:bookmarkStart w:id="5" w:name="_Toc15378441"/>
      <w:r>
        <w:rPr>
          <w:rFonts w:eastAsia="方正小标宋简体"/>
          <w:b/>
          <w:color w:val="000000"/>
          <w:sz w:val="52"/>
          <w:szCs w:val="52"/>
        </w:rPr>
        <w:t>2019年度</w:t>
      </w:r>
      <w:bookmarkEnd w:id="0"/>
      <w:bookmarkEnd w:id="1"/>
      <w:bookmarkEnd w:id="2"/>
      <w:bookmarkEnd w:id="3"/>
      <w:bookmarkEnd w:id="4"/>
      <w:bookmarkEnd w:id="5"/>
      <w:bookmarkStart w:id="6" w:name="_Toc15377426"/>
      <w:bookmarkStart w:id="7" w:name="_Toc15396598"/>
      <w:bookmarkStart w:id="8" w:name="_Toc15377194"/>
      <w:bookmarkStart w:id="9" w:name="_Toc15396476"/>
      <w:bookmarkStart w:id="10" w:name="_Toc15306268"/>
      <w:bookmarkStart w:id="11" w:name="_Toc15378442"/>
      <w:r>
        <w:rPr>
          <w:rFonts w:eastAsia="方正小标宋简体"/>
          <w:b/>
          <w:color w:val="000000"/>
          <w:sz w:val="52"/>
          <w:szCs w:val="52"/>
        </w:rPr>
        <w:t>泸县县委巡察工作领导小组办公室部门决算</w:t>
      </w:r>
      <w:bookmarkEnd w:id="6"/>
      <w:bookmarkEnd w:id="7"/>
      <w:bookmarkEnd w:id="8"/>
      <w:bookmarkEnd w:id="9"/>
      <w:bookmarkEnd w:id="10"/>
      <w:bookmarkEnd w:id="11"/>
    </w:p>
    <w:p>
      <w:pPr>
        <w:widowControl/>
        <w:spacing w:line="578" w:lineRule="exact"/>
        <w:jc w:val="center"/>
        <w:rPr>
          <w:rFonts w:eastAsia="方正小标宋简体"/>
          <w:color w:val="000000"/>
          <w:sz w:val="44"/>
          <w:szCs w:val="44"/>
        </w:rPr>
        <w:sectPr>
          <w:footerReference r:id="rId6" w:type="first"/>
          <w:headerReference r:id="rId3" w:type="default"/>
          <w:footerReference r:id="rId4" w:type="default"/>
          <w:footerReference r:id="rId5" w:type="even"/>
          <w:pgSz w:w="11906" w:h="16838"/>
          <w:pgMar w:top="2098" w:right="1474" w:bottom="1985" w:left="1588" w:header="851" w:footer="1418" w:gutter="0"/>
          <w:pgNumType w:start="1"/>
          <w:cols w:space="425" w:num="1"/>
          <w:titlePg/>
          <w:docGrid w:type="lines" w:linePitch="312" w:charSpace="0"/>
        </w:sectPr>
      </w:pPr>
    </w:p>
    <w:p>
      <w:pPr>
        <w:widowControl/>
        <w:spacing w:line="578" w:lineRule="exact"/>
        <w:jc w:val="center"/>
        <w:rPr>
          <w:rFonts w:eastAsia="方正小标宋简体"/>
          <w:color w:val="000000"/>
          <w:sz w:val="44"/>
          <w:szCs w:val="44"/>
        </w:rPr>
      </w:pPr>
      <w:r>
        <w:rPr>
          <w:rFonts w:eastAsia="方正小标宋简体"/>
          <w:color w:val="000000"/>
          <w:sz w:val="44"/>
          <w:szCs w:val="44"/>
        </w:rPr>
        <w:t>目  录</w:t>
      </w:r>
    </w:p>
    <w:p>
      <w:pPr>
        <w:widowControl/>
        <w:spacing w:line="560" w:lineRule="exact"/>
        <w:jc w:val="center"/>
        <w:rPr>
          <w:rFonts w:eastAsia="黑体"/>
          <w:sz w:val="28"/>
          <w:szCs w:val="28"/>
        </w:rPr>
      </w:pPr>
    </w:p>
    <w:p>
      <w:pPr>
        <w:pStyle w:val="5"/>
        <w:adjustRightInd w:val="0"/>
        <w:snapToGrid w:val="0"/>
        <w:spacing w:beforeLines="0" w:line="560" w:lineRule="exact"/>
        <w:ind w:firstLine="675" w:firstLineChars="210"/>
        <w:outlineLvl w:val="2"/>
        <w:rPr>
          <w:rFonts w:ascii="Times New Roman" w:eastAsia="方正仿宋简体"/>
          <w:b/>
          <w:bCs/>
          <w:color w:val="000000"/>
          <w:sz w:val="32"/>
          <w:szCs w:val="32"/>
        </w:rPr>
      </w:pPr>
      <w:r>
        <w:rPr>
          <w:rFonts w:ascii="Times New Roman" w:eastAsia="方正仿宋简体"/>
          <w:b/>
          <w:bCs/>
          <w:color w:val="000000"/>
          <w:sz w:val="32"/>
          <w:szCs w:val="32"/>
        </w:rPr>
        <w:t>公开时间：2020年10月26日</w:t>
      </w:r>
    </w:p>
    <w:p>
      <w:pPr>
        <w:pStyle w:val="2"/>
        <w:spacing w:before="0" w:after="0" w:line="560" w:lineRule="exact"/>
        <w:jc w:val="center"/>
        <w:rPr>
          <w:rFonts w:eastAsia="方正小标宋简体"/>
          <w:b w:val="0"/>
        </w:rPr>
      </w:pPr>
    </w:p>
    <w:p>
      <w:pPr>
        <w:pStyle w:val="2"/>
        <w:numPr>
          <w:ilvl w:val="0"/>
          <w:numId w:val="1"/>
        </w:numPr>
        <w:spacing w:before="0" w:after="0" w:line="560" w:lineRule="exact"/>
        <w:jc w:val="center"/>
        <w:rPr>
          <w:rFonts w:eastAsia="方正小标宋简体"/>
          <w:sz w:val="36"/>
          <w:szCs w:val="36"/>
        </w:rPr>
      </w:pPr>
      <w:r>
        <w:rPr>
          <w:rFonts w:eastAsia="方正小标宋简体"/>
          <w:sz w:val="36"/>
          <w:szCs w:val="36"/>
        </w:rPr>
        <w:t xml:space="preserve"> 部门概况</w:t>
      </w:r>
    </w:p>
    <w:p>
      <w:pPr>
        <w:snapToGrid w:val="0"/>
        <w:spacing w:line="560" w:lineRule="exact"/>
        <w:ind w:firstLine="643" w:firstLineChars="200"/>
        <w:rPr>
          <w:rFonts w:eastAsia="方正仿宋简体"/>
          <w:b/>
          <w:bCs/>
          <w:color w:val="000000"/>
          <w:sz w:val="32"/>
          <w:szCs w:val="32"/>
        </w:rPr>
      </w:pPr>
    </w:p>
    <w:p>
      <w:pPr>
        <w:pStyle w:val="5"/>
        <w:numPr>
          <w:ilvl w:val="0"/>
          <w:numId w:val="2"/>
        </w:numPr>
        <w:adjustRightInd w:val="0"/>
        <w:snapToGrid w:val="0"/>
        <w:spacing w:beforeLines="0" w:line="560" w:lineRule="exact"/>
        <w:outlineLvl w:val="2"/>
        <w:rPr>
          <w:rFonts w:ascii="Times New Roman" w:eastAsia="方正黑体简体"/>
          <w:b/>
          <w:bCs/>
          <w:color w:val="000000"/>
          <w:sz w:val="32"/>
          <w:szCs w:val="32"/>
        </w:rPr>
      </w:pPr>
      <w:r>
        <w:rPr>
          <w:rFonts w:ascii="Times New Roman" w:hAnsi="黑体" w:eastAsia="黑体"/>
          <w:color w:val="000000" w:themeColor="text1"/>
        </w:rPr>
        <w:t>基</w:t>
      </w:r>
      <w:r>
        <w:rPr>
          <w:rStyle w:val="27"/>
          <w:rFonts w:ascii="Times New Roman" w:hAnsi="黑体" w:eastAsia="黑体" w:cs="Times New Roman"/>
          <w:color w:val="000000" w:themeColor="text1"/>
        </w:rPr>
        <w:t>本职能及主要工作</w:t>
      </w:r>
    </w:p>
    <w:p>
      <w:pPr>
        <w:snapToGrid w:val="0"/>
        <w:spacing w:line="560" w:lineRule="exact"/>
        <w:ind w:firstLine="643" w:firstLineChars="200"/>
        <w:rPr>
          <w:rFonts w:eastAsia="方正楷体简体"/>
          <w:b/>
          <w:bCs/>
          <w:color w:val="000000"/>
          <w:sz w:val="32"/>
          <w:szCs w:val="32"/>
        </w:rPr>
      </w:pPr>
      <w:r>
        <w:rPr>
          <w:rFonts w:eastAsia="方正楷体简体"/>
          <w:b/>
          <w:bCs/>
          <w:color w:val="000000"/>
          <w:sz w:val="32"/>
          <w:szCs w:val="32"/>
        </w:rPr>
        <w:t>（一）主要职能。</w:t>
      </w:r>
    </w:p>
    <w:p>
      <w:pPr>
        <w:snapToGrid w:val="0"/>
        <w:spacing w:line="560" w:lineRule="exact"/>
        <w:ind w:firstLine="643" w:firstLineChars="200"/>
        <w:rPr>
          <w:rFonts w:eastAsia="方正仿宋简体"/>
          <w:b/>
          <w:sz w:val="32"/>
          <w:szCs w:val="32"/>
        </w:rPr>
      </w:pPr>
      <w:r>
        <w:rPr>
          <w:rFonts w:eastAsia="方正仿宋简体"/>
          <w:b/>
          <w:sz w:val="32"/>
          <w:szCs w:val="32"/>
        </w:rPr>
        <w:t>承担县委巡察工作的组织部署、督促指导、联络协调工作；统筹、协调、指导巡察组开展工作；对县委和巡察工作领导小组决定的事项进行督办；负责省委巡视、市委巡察组到合巡视巡察的协调联络、办理交办事项、督促巡视巡察整改；配合县纪委、县委组织部及相关部门对巡察工作人员进行培训、考核、监督和管理等工作职能；承担上级巡视巡察联络相关工作。</w:t>
      </w:r>
    </w:p>
    <w:p>
      <w:pPr>
        <w:snapToGrid w:val="0"/>
        <w:spacing w:line="560" w:lineRule="exact"/>
        <w:ind w:firstLine="643" w:firstLineChars="200"/>
        <w:rPr>
          <w:rFonts w:eastAsia="方正楷体简体"/>
          <w:b/>
          <w:bCs/>
          <w:color w:val="000000"/>
          <w:sz w:val="32"/>
          <w:szCs w:val="32"/>
        </w:rPr>
      </w:pPr>
      <w:r>
        <w:rPr>
          <w:rFonts w:eastAsia="方正楷体简体"/>
          <w:b/>
          <w:bCs/>
          <w:color w:val="000000"/>
          <w:sz w:val="32"/>
          <w:szCs w:val="32"/>
        </w:rPr>
        <w:t>（二）2019年重点工作完成情况。</w:t>
      </w:r>
    </w:p>
    <w:p>
      <w:pPr>
        <w:pStyle w:val="5"/>
        <w:adjustRightInd w:val="0"/>
        <w:snapToGrid w:val="0"/>
        <w:spacing w:beforeLines="0" w:line="560" w:lineRule="exact"/>
        <w:ind w:firstLine="675" w:firstLineChars="210"/>
        <w:outlineLvl w:val="2"/>
        <w:rPr>
          <w:rFonts w:ascii="Times New Roman" w:eastAsia="方正仿宋简体"/>
          <w:b/>
          <w:kern w:val="2"/>
          <w:sz w:val="32"/>
          <w:szCs w:val="32"/>
        </w:rPr>
      </w:pPr>
      <w:r>
        <w:rPr>
          <w:rFonts w:ascii="Times New Roman" w:eastAsia="方正仿宋简体"/>
          <w:b/>
          <w:kern w:val="2"/>
          <w:sz w:val="32"/>
          <w:szCs w:val="32"/>
        </w:rPr>
        <w:t>2019年共计开展两轮常规巡察和一轮专项巡察，巡察县直部门9个、乡镇6个、县属学校5个，县属医院3个。</w:t>
      </w:r>
    </w:p>
    <w:p>
      <w:pPr>
        <w:pStyle w:val="5"/>
        <w:numPr>
          <w:ilvl w:val="0"/>
          <w:numId w:val="3"/>
        </w:numPr>
        <w:adjustRightInd w:val="0"/>
        <w:snapToGrid w:val="0"/>
        <w:spacing w:beforeLines="0" w:line="560" w:lineRule="exact"/>
        <w:ind w:firstLine="675" w:firstLineChars="210"/>
        <w:outlineLvl w:val="2"/>
        <w:rPr>
          <w:rFonts w:ascii="Times New Roman" w:eastAsia="方正黑体简体"/>
          <w:b/>
          <w:bCs/>
          <w:color w:val="000000"/>
          <w:sz w:val="32"/>
          <w:szCs w:val="32"/>
        </w:rPr>
      </w:pPr>
      <w:r>
        <w:rPr>
          <w:rFonts w:ascii="Times New Roman" w:eastAsia="方正黑体简体"/>
          <w:b/>
          <w:bCs/>
          <w:color w:val="000000"/>
          <w:sz w:val="32"/>
          <w:szCs w:val="32"/>
        </w:rPr>
        <w:t>机构设置</w:t>
      </w:r>
    </w:p>
    <w:p>
      <w:pPr>
        <w:pStyle w:val="32"/>
        <w:autoSpaceDN w:val="0"/>
        <w:spacing w:line="560" w:lineRule="exact"/>
        <w:ind w:firstLine="643" w:firstLineChars="200"/>
        <w:jc w:val="left"/>
        <w:rPr>
          <w:rFonts w:eastAsia="方正仿宋简体"/>
          <w:b/>
          <w:bCs/>
          <w:sz w:val="32"/>
          <w:szCs w:val="32"/>
        </w:rPr>
      </w:pPr>
      <w:r>
        <w:rPr>
          <w:rFonts w:eastAsia="方正仿宋简体"/>
          <w:b/>
          <w:bCs/>
          <w:sz w:val="32"/>
          <w:szCs w:val="32"/>
        </w:rPr>
        <w:t>泸县县委巡察办是一级预算单位，属行政单位。机构规格为正科级，核定行政编制6名，设主任1名（正科级），副主任1名（副科级），科员4人。2019年末编制数6人，其中：行政编制6</w:t>
      </w:r>
    </w:p>
    <w:p>
      <w:pPr>
        <w:pStyle w:val="32"/>
        <w:autoSpaceDN w:val="0"/>
        <w:spacing w:line="560" w:lineRule="exact"/>
        <w:jc w:val="left"/>
        <w:rPr>
          <w:rFonts w:eastAsia="方正仿宋简体"/>
          <w:b/>
          <w:bCs/>
          <w:sz w:val="32"/>
          <w:szCs w:val="32"/>
        </w:rPr>
      </w:pPr>
      <w:r>
        <w:rPr>
          <w:rFonts w:eastAsia="方正仿宋简体"/>
          <w:b/>
          <w:bCs/>
          <w:sz w:val="32"/>
          <w:szCs w:val="32"/>
        </w:rPr>
        <w:t>人；年末实有在职人数4人。</w:t>
      </w:r>
    </w:p>
    <w:p>
      <w:pPr>
        <w:pStyle w:val="2"/>
        <w:spacing w:before="0" w:after="0" w:line="578" w:lineRule="exact"/>
        <w:ind w:left="1500"/>
        <w:rPr>
          <w:rFonts w:eastAsia="方正小标宋简体"/>
          <w:sz w:val="36"/>
          <w:szCs w:val="36"/>
        </w:rPr>
      </w:pPr>
      <w:r>
        <w:rPr>
          <w:rFonts w:eastAsia="方正小标宋简体"/>
          <w:sz w:val="36"/>
          <w:szCs w:val="36"/>
        </w:rPr>
        <w:t>第二部分  度部门决算情况说明</w:t>
      </w:r>
    </w:p>
    <w:p>
      <w:pPr>
        <w:pStyle w:val="25"/>
        <w:spacing w:line="578" w:lineRule="exact"/>
        <w:ind w:left="640" w:firstLine="0" w:firstLineChars="0"/>
        <w:outlineLvl w:val="1"/>
        <w:rPr>
          <w:rFonts w:eastAsia="黑体"/>
          <w:color w:val="000000"/>
          <w:sz w:val="32"/>
          <w:szCs w:val="32"/>
        </w:rPr>
      </w:pPr>
    </w:p>
    <w:p>
      <w:pPr>
        <w:pStyle w:val="25"/>
        <w:spacing w:line="578" w:lineRule="exact"/>
        <w:ind w:firstLine="643"/>
        <w:outlineLvl w:val="1"/>
        <w:rPr>
          <w:rStyle w:val="27"/>
          <w:rFonts w:ascii="Times New Roman" w:hAnsi="Times New Roman" w:eastAsia="方正黑体简体" w:cs="Times New Roman"/>
        </w:rPr>
      </w:pPr>
      <w:r>
        <w:rPr>
          <w:rFonts w:eastAsia="方正黑体简体"/>
          <w:b/>
          <w:color w:val="000000"/>
          <w:sz w:val="32"/>
          <w:szCs w:val="32"/>
        </w:rPr>
        <w:t>一、收</w:t>
      </w:r>
      <w:r>
        <w:rPr>
          <w:rStyle w:val="27"/>
          <w:rFonts w:ascii="Times New Roman" w:hAnsi="Times New Roman" w:eastAsia="方正黑体简体" w:cs="Times New Roman"/>
        </w:rPr>
        <w:t>入支出决算总体情况说明</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2019年度收、支总计319.17万元。与2018年相比，收、支总计各增加9.61万元，增长3%。主要变动原因是2019年新进人员1人。</w:t>
      </w:r>
    </w:p>
    <w:p>
      <w:pPr>
        <w:pStyle w:val="25"/>
        <w:spacing w:line="578" w:lineRule="exact"/>
        <w:ind w:firstLine="643"/>
        <w:outlineLvl w:val="1"/>
        <w:rPr>
          <w:rFonts w:eastAsia="方正黑体简体"/>
          <w:bCs/>
          <w:color w:val="000000"/>
        </w:rPr>
      </w:pPr>
      <w:r>
        <w:rPr>
          <w:rFonts w:eastAsia="方正黑体简体"/>
          <w:b/>
          <w:color w:val="000000"/>
          <w:sz w:val="32"/>
          <w:szCs w:val="32"/>
        </w:rPr>
        <w:t>二、收入决算情况说明</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2019年本年收入合计319.17万元，其中：一般公共预算财政拨款收入319.17万元，占100%。</w:t>
      </w:r>
    </w:p>
    <w:p>
      <w:pPr>
        <w:pStyle w:val="25"/>
        <w:spacing w:line="578" w:lineRule="exact"/>
        <w:ind w:firstLine="643"/>
        <w:outlineLvl w:val="1"/>
        <w:rPr>
          <w:rFonts w:eastAsia="方正黑体简体"/>
          <w:bCs/>
          <w:color w:val="000000"/>
        </w:rPr>
      </w:pPr>
      <w:r>
        <w:rPr>
          <w:rFonts w:eastAsia="方正黑体简体"/>
          <w:b/>
          <w:color w:val="000000"/>
          <w:sz w:val="32"/>
          <w:szCs w:val="32"/>
        </w:rPr>
        <w:t>三、支出决算情况说明</w:t>
      </w:r>
    </w:p>
    <w:p>
      <w:pPr>
        <w:spacing w:line="578" w:lineRule="exact"/>
        <w:ind w:firstLine="643" w:firstLineChars="200"/>
        <w:rPr>
          <w:rFonts w:eastAsia="方正仿宋简体"/>
          <w:b/>
          <w:color w:val="FF0000"/>
          <w:sz w:val="32"/>
          <w:szCs w:val="32"/>
        </w:rPr>
      </w:pPr>
      <w:r>
        <w:rPr>
          <w:rFonts w:eastAsia="方正仿宋简体"/>
          <w:b/>
          <w:color w:val="000000"/>
          <w:sz w:val="32"/>
          <w:szCs w:val="32"/>
        </w:rPr>
        <w:t>2019年本年支出合计319.17万元，其中：基本支出184.17万元，占57.7%；项目支出135万元，占42.3%。</w:t>
      </w:r>
    </w:p>
    <w:p>
      <w:pPr>
        <w:spacing w:line="578" w:lineRule="exact"/>
        <w:ind w:firstLine="643" w:firstLineChars="200"/>
        <w:outlineLvl w:val="1"/>
        <w:rPr>
          <w:rFonts w:eastAsia="方正黑体简体"/>
          <w:bCs/>
          <w:color w:val="000000"/>
        </w:rPr>
      </w:pPr>
      <w:r>
        <w:rPr>
          <w:rFonts w:eastAsia="方正黑体简体"/>
          <w:b/>
          <w:color w:val="000000"/>
          <w:sz w:val="32"/>
          <w:szCs w:val="32"/>
        </w:rPr>
        <w:t>四、财政拨款收入支出决算总体情况说明</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2019年财政拨款收、支总计319.17万元。与2018年相比，财政拨款收、支总计各增加9.61万元，增长3%。主要变动原因是2019年新进人员1人。</w:t>
      </w:r>
    </w:p>
    <w:p>
      <w:pPr>
        <w:spacing w:line="578" w:lineRule="exact"/>
        <w:ind w:firstLine="643" w:firstLineChars="200"/>
        <w:outlineLvl w:val="1"/>
        <w:rPr>
          <w:rFonts w:eastAsia="方正黑体简体"/>
          <w:bCs/>
          <w:color w:val="000000"/>
        </w:rPr>
      </w:pPr>
      <w:r>
        <w:rPr>
          <w:rFonts w:eastAsia="方正黑体简体"/>
          <w:b/>
          <w:color w:val="000000"/>
          <w:sz w:val="32"/>
          <w:szCs w:val="32"/>
        </w:rPr>
        <w:t>五、一般公共预算财政拨款支出决算情况说明</w:t>
      </w:r>
    </w:p>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（一）一般公共预算财政拨款支出决算总体情况</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2019年一般公共预算财政拨款支出319.17万元，占本年支出合计的100%。与2018年相比，一般公共预算财政拨款增加9.61万元，增长3%。主要变动原因是2019年新进人员1人。</w:t>
      </w:r>
    </w:p>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（二）一般公共预算财政拨款支出决算结构情况</w:t>
      </w:r>
    </w:p>
    <w:p>
      <w:pPr>
        <w:spacing w:line="578" w:lineRule="exact"/>
        <w:ind w:firstLine="640"/>
        <w:rPr>
          <w:rFonts w:eastAsia="方正仿宋简体"/>
          <w:b/>
          <w:color w:val="000000"/>
          <w:sz w:val="32"/>
          <w:szCs w:val="32"/>
        </w:rPr>
      </w:pPr>
      <w:r>
        <w:rPr>
          <w:rFonts w:eastAsia="方正仿宋简体"/>
          <w:b/>
          <w:color w:val="000000"/>
          <w:sz w:val="32"/>
          <w:szCs w:val="32"/>
        </w:rPr>
        <w:t>2019年一般公共预算财</w:t>
      </w:r>
      <w:r>
        <w:rPr>
          <w:rFonts w:eastAsia="方正仿宋简体"/>
          <w:b/>
          <w:color w:val="000000" w:themeColor="text1"/>
          <w:sz w:val="32"/>
          <w:szCs w:val="32"/>
        </w:rPr>
        <w:t>政拨款支出319.17万元，主要用于以下方面:</w:t>
      </w:r>
      <w:r>
        <w:rPr>
          <w:rFonts w:eastAsia="方正仿宋简体"/>
          <w:b/>
          <w:color w:val="000000"/>
          <w:sz w:val="32"/>
          <w:szCs w:val="32"/>
        </w:rPr>
        <w:t>一般公共服务（类）支出293.84万元，占92.06%；社会保障和就业（类）支出12.1万元，占3.79%；医疗卫生支出5.22万元，占1.64%；住房保</w:t>
      </w:r>
      <w:r>
        <w:rPr>
          <w:rFonts w:eastAsia="方正仿宋简体"/>
          <w:b/>
          <w:color w:val="000000" w:themeColor="text1"/>
          <w:sz w:val="32"/>
          <w:szCs w:val="32"/>
        </w:rPr>
        <w:t>障支出8.01万元，占2.51%。</w:t>
      </w:r>
    </w:p>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（三）一般公共预算财政拨款支出决算具体情况</w:t>
      </w:r>
    </w:p>
    <w:p>
      <w:pPr>
        <w:spacing w:line="578" w:lineRule="exact"/>
        <w:ind w:firstLine="643" w:firstLineChars="200"/>
        <w:outlineLvl w:val="2"/>
        <w:rPr>
          <w:rFonts w:eastAsia="方正仿宋简体"/>
          <w:b/>
          <w:color w:val="FF0000"/>
          <w:sz w:val="32"/>
          <w:szCs w:val="32"/>
        </w:rPr>
      </w:pPr>
      <w:r>
        <w:rPr>
          <w:rFonts w:eastAsia="方正仿宋简体"/>
          <w:b/>
          <w:color w:val="000000" w:themeColor="text1"/>
          <w:sz w:val="32"/>
          <w:szCs w:val="32"/>
        </w:rPr>
        <w:t>2019年般公共预算支出决算数为319.17万元，</w:t>
      </w:r>
      <w:r>
        <w:rPr>
          <w:rStyle w:val="15"/>
          <w:rFonts w:eastAsia="方正仿宋简体"/>
          <w:bCs/>
          <w:color w:val="000000" w:themeColor="text1"/>
          <w:sz w:val="32"/>
          <w:szCs w:val="32"/>
        </w:rPr>
        <w:t>完成</w:t>
      </w:r>
      <w:r>
        <w:rPr>
          <w:rStyle w:val="15"/>
          <w:rFonts w:eastAsia="方正仿宋简体"/>
          <w:bCs/>
          <w:color w:val="000000"/>
          <w:sz w:val="32"/>
          <w:szCs w:val="32"/>
        </w:rPr>
        <w:t>预算100%。其中：</w:t>
      </w:r>
    </w:p>
    <w:p>
      <w:pPr>
        <w:spacing w:line="578" w:lineRule="exact"/>
        <w:ind w:firstLine="643" w:firstLineChars="200"/>
        <w:outlineLvl w:val="2"/>
        <w:rPr>
          <w:rStyle w:val="15"/>
          <w:rFonts w:eastAsia="方正仿宋简体"/>
          <w:color w:val="FF0000"/>
          <w:sz w:val="32"/>
          <w:szCs w:val="32"/>
        </w:rPr>
      </w:pPr>
      <w:r>
        <w:rPr>
          <w:rStyle w:val="15"/>
          <w:rFonts w:eastAsia="方正仿宋简体"/>
          <w:bCs/>
          <w:color w:val="000000"/>
          <w:sz w:val="32"/>
          <w:szCs w:val="32"/>
        </w:rPr>
        <w:t>1.一般公共服务（类）纪检监察事务（款）行政运行（项）: 支出决算为293.84万元，完成预算100%。</w:t>
      </w:r>
    </w:p>
    <w:p>
      <w:pPr>
        <w:spacing w:line="578" w:lineRule="exact"/>
        <w:ind w:firstLine="643" w:firstLineChars="200"/>
        <w:rPr>
          <w:rFonts w:eastAsia="方正仿宋简体"/>
          <w:b/>
          <w:color w:val="000000"/>
          <w:sz w:val="32"/>
          <w:szCs w:val="32"/>
        </w:rPr>
      </w:pPr>
      <w:r>
        <w:rPr>
          <w:rStyle w:val="15"/>
          <w:rFonts w:eastAsia="方正仿宋简体"/>
          <w:bCs/>
          <w:color w:val="000000"/>
          <w:sz w:val="32"/>
          <w:szCs w:val="32"/>
        </w:rPr>
        <w:t>2.社会保障和就业行政事业单位离退休（款）机关事业单位基本养老保险缴费支出、机关事业单位职业年金缴费支出（项）:支出决算为12.1万元，完成预算100%。</w:t>
      </w:r>
    </w:p>
    <w:p>
      <w:pPr>
        <w:spacing w:line="578" w:lineRule="exact"/>
        <w:ind w:firstLine="643" w:firstLineChars="200"/>
        <w:rPr>
          <w:rStyle w:val="15"/>
          <w:rFonts w:eastAsia="方正仿宋简体"/>
          <w:bCs/>
          <w:color w:val="000000"/>
          <w:sz w:val="32"/>
          <w:szCs w:val="32"/>
        </w:rPr>
      </w:pPr>
      <w:r>
        <w:rPr>
          <w:rStyle w:val="15"/>
          <w:rFonts w:eastAsia="方正仿宋简体"/>
          <w:bCs/>
          <w:color w:val="000000"/>
          <w:sz w:val="32"/>
          <w:szCs w:val="32"/>
        </w:rPr>
        <w:t>3.医疗卫生与计划生育（类）行政事业单位医疗（款） 行政单位医疗（项）:支出决算为5.22万元，完成预算100%。</w:t>
      </w:r>
    </w:p>
    <w:p>
      <w:pPr>
        <w:spacing w:line="578" w:lineRule="exact"/>
        <w:ind w:firstLine="643" w:firstLineChars="200"/>
        <w:rPr>
          <w:rStyle w:val="15"/>
          <w:rFonts w:eastAsia="方正仿宋简体"/>
          <w:bCs/>
          <w:color w:val="000000"/>
          <w:sz w:val="32"/>
          <w:szCs w:val="32"/>
        </w:rPr>
      </w:pPr>
      <w:r>
        <w:rPr>
          <w:rStyle w:val="15"/>
          <w:rFonts w:eastAsia="方正仿宋简体"/>
          <w:bCs/>
          <w:color w:val="000000"/>
          <w:sz w:val="32"/>
          <w:szCs w:val="32"/>
        </w:rPr>
        <w:t>4.住房保障支出（类）住房改革支出（款）住房公积金（项）:支出决算为8.01万元，完成预算100%。</w:t>
      </w:r>
    </w:p>
    <w:p>
      <w:pPr>
        <w:tabs>
          <w:tab w:val="right" w:pos="8306"/>
        </w:tabs>
        <w:spacing w:line="578" w:lineRule="exact"/>
        <w:ind w:firstLine="640"/>
        <w:outlineLvl w:val="1"/>
        <w:rPr>
          <w:rFonts w:eastAsia="方正黑体简体"/>
          <w:bCs/>
          <w:color w:val="000000"/>
        </w:rPr>
      </w:pPr>
      <w:r>
        <w:rPr>
          <w:rFonts w:eastAsia="方正黑体简体"/>
          <w:b/>
          <w:color w:val="000000"/>
          <w:sz w:val="32"/>
          <w:szCs w:val="32"/>
        </w:rPr>
        <w:t>六、一般公共预算财政拨款基本支出决算情况说明</w:t>
      </w:r>
      <w:r>
        <w:rPr>
          <w:rFonts w:eastAsia="方正黑体简体"/>
          <w:bCs/>
          <w:color w:val="000000"/>
        </w:rPr>
        <w:tab/>
      </w:r>
    </w:p>
    <w:p>
      <w:pPr>
        <w:spacing w:line="578" w:lineRule="exact"/>
        <w:ind w:firstLine="645"/>
        <w:rPr>
          <w:rFonts w:eastAsia="方正仿宋简体"/>
          <w:b/>
          <w:color w:val="000000"/>
          <w:sz w:val="32"/>
          <w:szCs w:val="32"/>
        </w:rPr>
      </w:pPr>
      <w:r>
        <w:rPr>
          <w:rFonts w:eastAsia="方正仿宋简体"/>
          <w:b/>
          <w:color w:val="000000"/>
          <w:sz w:val="32"/>
          <w:szCs w:val="32"/>
        </w:rPr>
        <w:t>2019年一般公共预算财政拨款基本支出184.17万元，其中：</w:t>
      </w:r>
    </w:p>
    <w:p>
      <w:pPr>
        <w:spacing w:line="578" w:lineRule="exact"/>
        <w:ind w:firstLine="645"/>
        <w:rPr>
          <w:rFonts w:eastAsia="方正仿宋简体"/>
          <w:b/>
          <w:color w:val="000000"/>
          <w:sz w:val="32"/>
          <w:szCs w:val="32"/>
        </w:rPr>
      </w:pPr>
      <w:r>
        <w:rPr>
          <w:rFonts w:eastAsia="方正仿宋简体"/>
          <w:b/>
          <w:color w:val="000000"/>
          <w:sz w:val="32"/>
          <w:szCs w:val="32"/>
        </w:rPr>
        <w:t>人员经费141.78万元，主要包括：基本工资、津贴补贴、奖金、机关事业单位基本养老保险缴费、行政单位医疗、其他社会保障缴费、住房公积金等。</w:t>
      </w:r>
      <w:r>
        <w:rPr>
          <w:rFonts w:eastAsia="方正仿宋简体"/>
          <w:b/>
          <w:color w:val="000000"/>
          <w:sz w:val="32"/>
          <w:szCs w:val="32"/>
        </w:rPr>
        <w:br w:type="textWrapping"/>
      </w:r>
      <w:r>
        <w:rPr>
          <w:rFonts w:eastAsia="方正仿宋简体"/>
          <w:b/>
          <w:color w:val="000000"/>
          <w:sz w:val="32"/>
          <w:szCs w:val="32"/>
        </w:rPr>
        <w:t>　　公用经费42.39万元，主要包括：办公费、印刷费、差旅费、租赁费、会议费、公务接待费、工会经费、福利费、其他交通费、其他商品和服务支出等。</w:t>
      </w:r>
      <w:bookmarkStart w:id="32" w:name="_GoBack"/>
      <w:bookmarkEnd w:id="32"/>
    </w:p>
    <w:p>
      <w:pPr>
        <w:spacing w:line="578" w:lineRule="exact"/>
        <w:ind w:firstLine="640"/>
        <w:outlineLvl w:val="1"/>
        <w:rPr>
          <w:rFonts w:eastAsia="方正黑体简体"/>
          <w:b/>
          <w:color w:val="000000"/>
          <w:sz w:val="32"/>
          <w:szCs w:val="32"/>
        </w:rPr>
      </w:pPr>
      <w:r>
        <w:rPr>
          <w:rFonts w:eastAsia="方正黑体简体"/>
          <w:b/>
          <w:color w:val="000000"/>
          <w:sz w:val="32"/>
          <w:szCs w:val="32"/>
        </w:rPr>
        <w:t>七、“三公”经费财政拨款支出决算情况说明</w:t>
      </w:r>
    </w:p>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（一）“三公”经费财政拨款支出决算总体情况说明</w:t>
      </w:r>
    </w:p>
    <w:p>
      <w:pPr>
        <w:spacing w:line="600" w:lineRule="exact"/>
        <w:ind w:firstLine="640"/>
        <w:rPr>
          <w:rFonts w:eastAsia="方正仿宋简体"/>
          <w:b/>
          <w:color w:val="000000"/>
          <w:sz w:val="32"/>
          <w:szCs w:val="32"/>
        </w:rPr>
      </w:pPr>
      <w:r>
        <w:rPr>
          <w:rFonts w:eastAsia="方正仿宋简体"/>
          <w:b/>
          <w:color w:val="000000"/>
          <w:sz w:val="32"/>
          <w:szCs w:val="32"/>
        </w:rPr>
        <w:t>2019年“三公”经费财政拨款支出决算为6万元，完成预算100%，</w:t>
      </w:r>
      <w:r>
        <w:rPr>
          <w:rFonts w:hint="eastAsia" w:eastAsia="方正仿宋简体"/>
          <w:b/>
          <w:color w:val="000000"/>
          <w:sz w:val="32"/>
          <w:szCs w:val="32"/>
          <w:lang w:val="en-US" w:eastAsia="zh-CN"/>
        </w:rPr>
        <w:t>，</w:t>
      </w:r>
      <w:r>
        <w:rPr>
          <w:rFonts w:eastAsia="方正仿宋简体"/>
          <w:b/>
          <w:color w:val="000000"/>
          <w:sz w:val="32"/>
          <w:szCs w:val="32"/>
        </w:rPr>
        <w:t>决算数与预算数持平。</w:t>
      </w:r>
      <w:r>
        <w:rPr>
          <w:rFonts w:hint="eastAsia" w:eastAsia="方正仿宋简体"/>
          <w:b/>
          <w:color w:val="000000"/>
          <w:sz w:val="32"/>
          <w:szCs w:val="32"/>
          <w:lang w:eastAsia="zh-CN"/>
        </w:rPr>
        <w:t>比上面增加</w:t>
      </w:r>
      <w:r>
        <w:rPr>
          <w:rFonts w:hint="eastAsia" w:eastAsia="方正仿宋简体"/>
          <w:b/>
          <w:color w:val="000000"/>
          <w:sz w:val="32"/>
          <w:szCs w:val="32"/>
          <w:lang w:val="en-US" w:eastAsia="zh-CN"/>
        </w:rPr>
        <w:t>4.51万元，</w:t>
      </w:r>
      <w:r>
        <w:rPr>
          <w:rFonts w:hint="eastAsia" w:eastAsia="方正仿宋简体"/>
          <w:b/>
          <w:color w:val="000000"/>
          <w:sz w:val="32"/>
          <w:szCs w:val="32"/>
        </w:rPr>
        <w:t>主要原因是</w:t>
      </w:r>
      <w:r>
        <w:rPr>
          <w:rFonts w:hint="eastAsia" w:eastAsia="方正仿宋简体"/>
          <w:b/>
          <w:color w:val="000000"/>
          <w:sz w:val="32"/>
          <w:szCs w:val="32"/>
          <w:lang w:eastAsia="zh-CN"/>
        </w:rPr>
        <w:t>巡察办及巡察组人员增加，于上级部门及其他区县交流更频繁</w:t>
      </w:r>
      <w:r>
        <w:rPr>
          <w:rFonts w:hint="eastAsia" w:eastAsia="方正仿宋简体"/>
          <w:b/>
          <w:color w:val="000000"/>
          <w:sz w:val="32"/>
          <w:szCs w:val="32"/>
        </w:rPr>
        <w:t>。国内公务接待</w:t>
      </w:r>
      <w:r>
        <w:rPr>
          <w:rFonts w:hint="eastAsia" w:eastAsia="方正仿宋简体"/>
          <w:b/>
          <w:color w:val="000000"/>
          <w:sz w:val="32"/>
          <w:szCs w:val="32"/>
          <w:lang w:val="en-US" w:eastAsia="zh-CN"/>
        </w:rPr>
        <w:t>56</w:t>
      </w:r>
      <w:r>
        <w:rPr>
          <w:rFonts w:hint="eastAsia" w:eastAsia="方正仿宋简体"/>
          <w:b/>
          <w:color w:val="000000"/>
          <w:sz w:val="32"/>
          <w:szCs w:val="32"/>
        </w:rPr>
        <w:t>批次，</w:t>
      </w:r>
      <w:r>
        <w:rPr>
          <w:rFonts w:hint="eastAsia" w:eastAsia="方正仿宋简体"/>
          <w:b/>
          <w:color w:val="000000"/>
          <w:sz w:val="32"/>
          <w:szCs w:val="32"/>
          <w:lang w:val="en-US" w:eastAsia="zh-CN"/>
        </w:rPr>
        <w:t>513</w:t>
      </w:r>
      <w:r>
        <w:rPr>
          <w:rFonts w:hint="eastAsia" w:eastAsia="方正仿宋简体"/>
          <w:b/>
          <w:color w:val="000000"/>
          <w:sz w:val="32"/>
          <w:szCs w:val="32"/>
        </w:rPr>
        <w:t>人次（不包括陪同人员），共计支出</w:t>
      </w:r>
      <w:r>
        <w:rPr>
          <w:rFonts w:hint="eastAsia" w:eastAsia="方正仿宋简体"/>
          <w:b/>
          <w:color w:val="000000"/>
          <w:sz w:val="32"/>
          <w:szCs w:val="32"/>
          <w:lang w:val="en-US" w:eastAsia="zh-CN"/>
        </w:rPr>
        <w:t>6</w:t>
      </w:r>
      <w:r>
        <w:rPr>
          <w:rFonts w:hint="eastAsia" w:eastAsia="方正仿宋简体"/>
          <w:b/>
          <w:color w:val="000000"/>
          <w:sz w:val="32"/>
          <w:szCs w:val="32"/>
        </w:rPr>
        <w:t>万元，主要用于上级部门调研指导工作，以及区县同行学习交流。</w:t>
      </w:r>
    </w:p>
    <w:p>
      <w:pPr>
        <w:spacing w:line="578" w:lineRule="exact"/>
        <w:ind w:firstLine="640"/>
        <w:rPr>
          <w:rFonts w:eastAsia="方正仿宋简体"/>
          <w:b/>
          <w:color w:val="000000"/>
          <w:sz w:val="32"/>
          <w:szCs w:val="32"/>
        </w:rPr>
      </w:pPr>
    </w:p>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（二）“三公”经费财政拨款支出决算具体情况说明</w:t>
      </w:r>
    </w:p>
    <w:p>
      <w:pPr>
        <w:spacing w:line="578" w:lineRule="exact"/>
        <w:ind w:firstLine="640"/>
        <w:rPr>
          <w:rFonts w:eastAsia="方正仿宋简体"/>
          <w:b/>
          <w:color w:val="000000"/>
          <w:sz w:val="32"/>
          <w:szCs w:val="32"/>
        </w:rPr>
      </w:pPr>
      <w:r>
        <w:rPr>
          <w:rFonts w:eastAsia="方正仿宋简体"/>
          <w:b/>
          <w:color w:val="000000"/>
          <w:sz w:val="32"/>
          <w:szCs w:val="32"/>
        </w:rPr>
        <w:t xml:space="preserve">1.因公出国（境）经费支出0万元。 </w:t>
      </w:r>
    </w:p>
    <w:p>
      <w:pPr>
        <w:spacing w:line="578" w:lineRule="exact"/>
        <w:ind w:firstLine="640"/>
        <w:rPr>
          <w:rFonts w:eastAsia="方正仿宋简体"/>
          <w:b/>
          <w:color w:val="000000"/>
          <w:sz w:val="32"/>
          <w:szCs w:val="32"/>
        </w:rPr>
      </w:pPr>
      <w:r>
        <w:rPr>
          <w:rFonts w:eastAsia="方正仿宋简体"/>
          <w:b/>
          <w:color w:val="000000"/>
          <w:sz w:val="32"/>
          <w:szCs w:val="32"/>
        </w:rPr>
        <w:t>2.公务用车购置及运行维护费支出0万元。</w:t>
      </w:r>
    </w:p>
    <w:p>
      <w:pPr>
        <w:spacing w:line="578" w:lineRule="exact"/>
        <w:ind w:firstLine="640"/>
        <w:rPr>
          <w:rFonts w:eastAsia="方正仿宋简体"/>
          <w:b/>
          <w:color w:val="000000"/>
          <w:sz w:val="32"/>
          <w:szCs w:val="32"/>
        </w:rPr>
      </w:pPr>
      <w:r>
        <w:rPr>
          <w:rFonts w:eastAsia="方正仿宋简体"/>
          <w:b/>
          <w:color w:val="000000"/>
          <w:sz w:val="32"/>
          <w:szCs w:val="32"/>
        </w:rPr>
        <w:t>3、2019年“三公”经费财政拨款支出决算中，公务接待费支出决算6万元，占100%。具体情况如下：</w:t>
      </w:r>
    </w:p>
    <w:p>
      <w:pPr>
        <w:spacing w:line="578" w:lineRule="exact"/>
        <w:ind w:firstLine="640"/>
        <w:rPr>
          <w:rFonts w:eastAsia="方正仿宋简体"/>
          <w:b/>
          <w:sz w:val="32"/>
          <w:szCs w:val="32"/>
        </w:rPr>
      </w:pPr>
      <w:r>
        <w:rPr>
          <w:rFonts w:eastAsia="方正仿宋简体"/>
          <w:b/>
          <w:sz w:val="32"/>
          <w:szCs w:val="32"/>
        </w:rPr>
        <w:t>公务接待费支出6万元，</w:t>
      </w:r>
      <w:r>
        <w:rPr>
          <w:rStyle w:val="15"/>
          <w:rFonts w:eastAsia="方正仿宋简体"/>
          <w:bCs/>
          <w:sz w:val="32"/>
          <w:szCs w:val="32"/>
        </w:rPr>
        <w:t>完成预算100%。</w:t>
      </w:r>
      <w:r>
        <w:rPr>
          <w:rFonts w:eastAsia="方正仿宋简体"/>
          <w:b/>
          <w:sz w:val="32"/>
          <w:szCs w:val="32"/>
        </w:rPr>
        <w:t>公务接待费支出决算比2018年增加4.51万元，增加302%。</w:t>
      </w:r>
    </w:p>
    <w:p>
      <w:pPr>
        <w:spacing w:line="578" w:lineRule="exact"/>
        <w:ind w:firstLine="640"/>
        <w:outlineLvl w:val="1"/>
        <w:rPr>
          <w:rFonts w:eastAsia="方正黑体简体"/>
          <w:b/>
          <w:color w:val="000000"/>
          <w:sz w:val="32"/>
          <w:szCs w:val="32"/>
        </w:rPr>
      </w:pPr>
      <w:r>
        <w:rPr>
          <w:rFonts w:eastAsia="方正黑体简体"/>
          <w:b/>
          <w:color w:val="000000"/>
          <w:sz w:val="32"/>
          <w:szCs w:val="32"/>
        </w:rPr>
        <w:t>八、政府性基金预算支出决算情况说明</w:t>
      </w:r>
    </w:p>
    <w:p>
      <w:pPr>
        <w:spacing w:line="578" w:lineRule="exact"/>
        <w:ind w:firstLine="640"/>
        <w:rPr>
          <w:rFonts w:eastAsia="方正仿宋简体"/>
          <w:b/>
          <w:color w:val="000000"/>
          <w:sz w:val="32"/>
          <w:szCs w:val="32"/>
        </w:rPr>
      </w:pPr>
      <w:r>
        <w:rPr>
          <w:rFonts w:eastAsia="方正仿宋简体"/>
          <w:b/>
          <w:color w:val="000000"/>
          <w:sz w:val="32"/>
          <w:szCs w:val="32"/>
        </w:rPr>
        <w:t>2019年政府性基金预算拨款支出0万元。</w:t>
      </w:r>
    </w:p>
    <w:p>
      <w:pPr>
        <w:numPr>
          <w:ilvl w:val="0"/>
          <w:numId w:val="4"/>
        </w:numPr>
        <w:spacing w:line="578" w:lineRule="exact"/>
        <w:ind w:firstLine="640"/>
        <w:outlineLvl w:val="1"/>
        <w:rPr>
          <w:rFonts w:eastAsia="方正黑体简体"/>
          <w:b/>
          <w:color w:val="000000"/>
          <w:sz w:val="32"/>
          <w:szCs w:val="32"/>
        </w:rPr>
      </w:pPr>
      <w:r>
        <w:rPr>
          <w:rFonts w:eastAsia="方正黑体简体"/>
          <w:b/>
          <w:color w:val="000000"/>
          <w:sz w:val="32"/>
          <w:szCs w:val="32"/>
        </w:rPr>
        <w:t>国有资本经营预算支出决算情况说明</w:t>
      </w:r>
    </w:p>
    <w:p>
      <w:pPr>
        <w:spacing w:line="578" w:lineRule="exact"/>
        <w:ind w:firstLine="640"/>
        <w:rPr>
          <w:rFonts w:eastAsia="方正仿宋简体"/>
          <w:b/>
          <w:color w:val="000000"/>
          <w:sz w:val="32"/>
          <w:szCs w:val="32"/>
        </w:rPr>
      </w:pPr>
      <w:r>
        <w:rPr>
          <w:rFonts w:eastAsia="方正仿宋简体"/>
          <w:b/>
          <w:color w:val="000000"/>
          <w:sz w:val="32"/>
          <w:szCs w:val="32"/>
        </w:rPr>
        <w:t>2019年国有资本经营预算拨款支出0万元。</w:t>
      </w:r>
    </w:p>
    <w:p>
      <w:pPr>
        <w:numPr>
          <w:ilvl w:val="0"/>
          <w:numId w:val="4"/>
        </w:numPr>
        <w:spacing w:line="578" w:lineRule="exact"/>
        <w:ind w:firstLine="640"/>
        <w:outlineLvl w:val="1"/>
        <w:rPr>
          <w:rFonts w:eastAsia="方正黑体简体"/>
          <w:b/>
          <w:color w:val="000000"/>
          <w:sz w:val="32"/>
          <w:szCs w:val="32"/>
        </w:rPr>
      </w:pPr>
      <w:r>
        <w:rPr>
          <w:rFonts w:eastAsia="方正黑体简体"/>
          <w:b/>
          <w:color w:val="000000"/>
          <w:sz w:val="32"/>
          <w:szCs w:val="32"/>
        </w:rPr>
        <w:t>其他重要事项的情况说明</w:t>
      </w:r>
    </w:p>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（一）机关运行经费支出情况</w:t>
      </w:r>
    </w:p>
    <w:p>
      <w:pPr>
        <w:spacing w:line="578" w:lineRule="exact"/>
        <w:ind w:firstLine="640"/>
        <w:rPr>
          <w:rFonts w:eastAsia="方正仿宋简体"/>
          <w:b/>
          <w:sz w:val="32"/>
          <w:szCs w:val="32"/>
        </w:rPr>
      </w:pPr>
      <w:r>
        <w:rPr>
          <w:rFonts w:eastAsia="方正仿宋简体"/>
          <w:b/>
          <w:sz w:val="32"/>
          <w:szCs w:val="32"/>
        </w:rPr>
        <w:t>2019年，机关运行经费支出42.39万元，比2018年减少0.58万元，减少1.35%。主要原因是</w:t>
      </w:r>
      <w:r>
        <w:rPr>
          <w:rFonts w:eastAsia="方正仿宋简体"/>
          <w:b/>
          <w:color w:val="000000"/>
          <w:sz w:val="32"/>
          <w:szCs w:val="32"/>
        </w:rPr>
        <w:t>厉行节俭、压缩开支。</w:t>
      </w:r>
    </w:p>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（二）政府采购支出情况</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2019年，政府采购支出总额3.57万元。</w:t>
      </w:r>
    </w:p>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（三）国有资产占有使用情况</w:t>
      </w:r>
    </w:p>
    <w:p>
      <w:pPr>
        <w:autoSpaceDE w:val="0"/>
        <w:autoSpaceDN w:val="0"/>
        <w:adjustRightInd w:val="0"/>
        <w:spacing w:line="578" w:lineRule="exact"/>
        <w:ind w:firstLine="643" w:firstLineChars="200"/>
        <w:jc w:val="left"/>
        <w:rPr>
          <w:rFonts w:eastAsia="方正仿宋简体"/>
          <w:b/>
          <w:color w:val="000000"/>
          <w:sz w:val="32"/>
          <w:szCs w:val="32"/>
        </w:rPr>
      </w:pPr>
      <w:r>
        <w:rPr>
          <w:rFonts w:eastAsia="方正仿宋简体"/>
          <w:b/>
          <w:color w:val="000000"/>
          <w:sz w:val="32"/>
          <w:szCs w:val="32"/>
        </w:rPr>
        <w:t>截至2019年12月31日，共有车辆0辆。</w:t>
      </w:r>
      <w:bookmarkStart w:id="12" w:name="_Toc15377218"/>
      <w:bookmarkStart w:id="13" w:name="_Toc15396610"/>
    </w:p>
    <w:bookmarkEnd w:id="12"/>
    <w:bookmarkEnd w:id="13"/>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（四）预算绩效管理情况。</w:t>
      </w:r>
    </w:p>
    <w:p>
      <w:pPr>
        <w:spacing w:line="578" w:lineRule="exact"/>
        <w:ind w:firstLine="643" w:firstLineChars="200"/>
        <w:rPr>
          <w:rFonts w:eastAsia="方正仿宋简体"/>
          <w:b/>
          <w:sz w:val="32"/>
          <w:szCs w:val="32"/>
        </w:rPr>
      </w:pPr>
      <w:r>
        <w:rPr>
          <w:rFonts w:eastAsia="方正仿宋简体"/>
          <w:b/>
          <w:sz w:val="32"/>
          <w:szCs w:val="32"/>
        </w:rPr>
        <w:t>根据预算绩效管理要求，本部门（单位）在年初预算编制阶段，组织对一般行政管理事务开展了预算事前绩效评估，对6个项目编制了绩效目标，预算执行过程中，选取1个项目开展绩效监控，年终执行完毕后，对1个项目开展了绩效目标完成情况自评。</w:t>
      </w:r>
    </w:p>
    <w:p>
      <w:pPr>
        <w:spacing w:line="578" w:lineRule="exact"/>
        <w:ind w:firstLine="643" w:firstLineChars="200"/>
        <w:rPr>
          <w:rFonts w:hint="eastAsia" w:eastAsia="方正仿宋简体"/>
          <w:b/>
          <w:sz w:val="32"/>
          <w:szCs w:val="32"/>
        </w:rPr>
      </w:pPr>
      <w:r>
        <w:rPr>
          <w:rFonts w:eastAsia="方正仿宋简体"/>
          <w:b/>
          <w:sz w:val="32"/>
          <w:szCs w:val="32"/>
        </w:rPr>
        <w:t>本部门按要求对2019年部门整体支出开展绩效自评，从评价情况来看2019年圆满完成两轮常规巡察和一轮专项巡察，巡察县直部门9个、乡镇6个、县属学校5个，县属医院3个。</w:t>
      </w:r>
    </w:p>
    <w:p>
      <w:pPr>
        <w:spacing w:line="578" w:lineRule="exact"/>
        <w:ind w:firstLine="643" w:firstLineChars="200"/>
        <w:rPr>
          <w:rFonts w:eastAsia="方正仿宋简体"/>
          <w:b/>
          <w:sz w:val="32"/>
          <w:szCs w:val="32"/>
        </w:rPr>
      </w:pPr>
    </w:p>
    <w:tbl>
      <w:tblPr>
        <w:tblStyle w:val="13"/>
        <w:tblpPr w:leftFromText="180" w:rightFromText="180" w:vertAnchor="text" w:horzAnchor="margin" w:tblpY="350"/>
        <w:tblOverlap w:val="never"/>
        <w:tblW w:w="9513" w:type="dxa"/>
        <w:tblInd w:w="0" w:type="dxa"/>
        <w:tblLayout w:type="fixed"/>
        <w:tblCellMar>
          <w:top w:w="0" w:type="dxa"/>
          <w:left w:w="0" w:type="dxa"/>
          <w:bottom w:w="0" w:type="dxa"/>
          <w:right w:w="0" w:type="dxa"/>
        </w:tblCellMar>
      </w:tblPr>
      <w:tblGrid>
        <w:gridCol w:w="1008"/>
        <w:gridCol w:w="992"/>
        <w:gridCol w:w="850"/>
        <w:gridCol w:w="284"/>
        <w:gridCol w:w="1134"/>
        <w:gridCol w:w="2551"/>
        <w:gridCol w:w="749"/>
        <w:gridCol w:w="1945"/>
      </w:tblGrid>
      <w:tr>
        <w:tblPrEx>
          <w:tblCellMar>
            <w:top w:w="0" w:type="dxa"/>
            <w:left w:w="0" w:type="dxa"/>
            <w:bottom w:w="0" w:type="dxa"/>
            <w:right w:w="0" w:type="dxa"/>
          </w:tblCellMar>
        </w:tblPrEx>
        <w:trPr>
          <w:trHeight w:val="1034" w:hRule="atLeast"/>
        </w:trPr>
        <w:tc>
          <w:tcPr>
            <w:tcW w:w="9513" w:type="dxa"/>
            <w:gridSpan w:val="8"/>
            <w:tcBorders>
              <w:top w:val="nil"/>
              <w:left w:val="nil"/>
              <w:bottom w:val="nil"/>
              <w:right w:val="nil"/>
            </w:tcBorders>
            <w:tcMar>
              <w:top w:w="15" w:type="dxa"/>
              <w:left w:w="15" w:type="dxa"/>
              <w:right w:w="15" w:type="dxa"/>
            </w:tcMar>
            <w:vAlign w:val="center"/>
          </w:tcPr>
          <w:p>
            <w:pPr>
              <w:widowControl/>
              <w:jc w:val="center"/>
              <w:textAlignment w:val="center"/>
              <w:rPr>
                <w:rFonts w:eastAsia="方正小标宋简体"/>
                <w:color w:val="000000"/>
                <w:kern w:val="0"/>
                <w:sz w:val="36"/>
                <w:szCs w:val="36"/>
              </w:rPr>
            </w:pPr>
            <w:r>
              <w:rPr>
                <w:rFonts w:eastAsia="方正小标宋简体"/>
                <w:b/>
                <w:bCs/>
                <w:color w:val="000000"/>
                <w:kern w:val="0"/>
                <w:sz w:val="36"/>
                <w:szCs w:val="36"/>
              </w:rPr>
              <w:t>项目绩效目标完成情况表</w:t>
            </w:r>
            <w:r>
              <w:rPr>
                <w:rFonts w:eastAsia="方正小标宋简体"/>
                <w:b/>
                <w:bCs/>
                <w:color w:val="000000"/>
                <w:kern w:val="0"/>
                <w:sz w:val="36"/>
                <w:szCs w:val="36"/>
              </w:rPr>
              <w:br w:type="textWrapping"/>
            </w:r>
            <w:r>
              <w:rPr>
                <w:rFonts w:eastAsia="方正小标宋简体"/>
                <w:color w:val="000000"/>
                <w:kern w:val="0"/>
                <w:sz w:val="36"/>
                <w:szCs w:val="36"/>
              </w:rPr>
              <w:t>(2019 年度)</w:t>
            </w:r>
          </w:p>
          <w:p>
            <w:pPr>
              <w:widowControl/>
              <w:spacing w:line="300" w:lineRule="exact"/>
              <w:jc w:val="center"/>
              <w:textAlignment w:val="center"/>
              <w:rPr>
                <w:rFonts w:eastAsia="方正小标宋简体"/>
                <w:color w:val="000000"/>
                <w:kern w:val="0"/>
                <w:sz w:val="36"/>
                <w:szCs w:val="36"/>
              </w:rPr>
            </w:pPr>
          </w:p>
        </w:tc>
      </w:tr>
      <w:tr>
        <w:tblPrEx>
          <w:tblCellMar>
            <w:top w:w="0" w:type="dxa"/>
            <w:left w:w="0" w:type="dxa"/>
            <w:bottom w:w="0" w:type="dxa"/>
            <w:right w:w="0" w:type="dxa"/>
          </w:tblCellMar>
        </w:tblPrEx>
        <w:trPr>
          <w:trHeight w:val="707" w:hRule="atLeast"/>
        </w:trPr>
        <w:tc>
          <w:tcPr>
            <w:tcW w:w="31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项目名称</w:t>
            </w:r>
          </w:p>
        </w:tc>
        <w:tc>
          <w:tcPr>
            <w:tcW w:w="637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巡察业务经费</w:t>
            </w:r>
          </w:p>
        </w:tc>
      </w:tr>
      <w:tr>
        <w:tblPrEx>
          <w:tblCellMar>
            <w:top w:w="0" w:type="dxa"/>
            <w:left w:w="0" w:type="dxa"/>
            <w:bottom w:w="0" w:type="dxa"/>
            <w:right w:w="0" w:type="dxa"/>
          </w:tblCellMar>
        </w:tblPrEx>
        <w:trPr>
          <w:trHeight w:val="567" w:hRule="atLeast"/>
        </w:trPr>
        <w:tc>
          <w:tcPr>
            <w:tcW w:w="31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预算单位</w:t>
            </w:r>
          </w:p>
        </w:tc>
        <w:tc>
          <w:tcPr>
            <w:tcW w:w="637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泸县县委巡察办</w:t>
            </w:r>
          </w:p>
        </w:tc>
      </w:tr>
      <w:tr>
        <w:tblPrEx>
          <w:tblCellMar>
            <w:top w:w="0" w:type="dxa"/>
            <w:left w:w="0" w:type="dxa"/>
            <w:bottom w:w="0" w:type="dxa"/>
            <w:right w:w="0" w:type="dxa"/>
          </w:tblCellMar>
        </w:tblPrEx>
        <w:trPr>
          <w:trHeight w:val="567" w:hRule="atLeast"/>
        </w:trPr>
        <w:tc>
          <w:tcPr>
            <w:tcW w:w="100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预算</w:t>
            </w:r>
          </w:p>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执行</w:t>
            </w:r>
          </w:p>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情况</w:t>
            </w:r>
          </w:p>
          <w:p>
            <w:pPr>
              <w:widowControl/>
              <w:spacing w:line="280" w:lineRule="exact"/>
              <w:jc w:val="center"/>
              <w:textAlignment w:val="center"/>
              <w:rPr>
                <w:rFonts w:eastAsia="方正黑体简体"/>
                <w:b/>
                <w:color w:val="000000"/>
                <w:sz w:val="24"/>
              </w:rPr>
            </w:pPr>
            <w:r>
              <w:rPr>
                <w:rFonts w:eastAsia="方正黑体简体"/>
                <w:b/>
                <w:color w:val="000000"/>
                <w:kern w:val="0"/>
                <w:sz w:val="24"/>
              </w:rPr>
              <w:t>(万元)</w:t>
            </w:r>
          </w:p>
        </w:tc>
        <w:tc>
          <w:tcPr>
            <w:tcW w:w="212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预算数:</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120</w:t>
            </w:r>
          </w:p>
        </w:tc>
        <w:tc>
          <w:tcPr>
            <w:tcW w:w="33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执行数:</w:t>
            </w:r>
          </w:p>
        </w:tc>
        <w:tc>
          <w:tcPr>
            <w:tcW w:w="1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120</w:t>
            </w:r>
          </w:p>
        </w:tc>
      </w:tr>
      <w:tr>
        <w:tblPrEx>
          <w:tblCellMar>
            <w:top w:w="0" w:type="dxa"/>
            <w:left w:w="0" w:type="dxa"/>
            <w:bottom w:w="0" w:type="dxa"/>
            <w:right w:w="0" w:type="dxa"/>
          </w:tblCellMar>
        </w:tblPrEx>
        <w:trPr>
          <w:trHeight w:val="567" w:hRule="atLeast"/>
        </w:trPr>
        <w:tc>
          <w:tcPr>
            <w:tcW w:w="100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80" w:lineRule="exact"/>
              <w:jc w:val="center"/>
              <w:rPr>
                <w:rFonts w:eastAsia="方正黑体简体"/>
                <w:b/>
                <w:color w:val="000000"/>
                <w:sz w:val="24"/>
              </w:rPr>
            </w:pPr>
          </w:p>
        </w:tc>
        <w:tc>
          <w:tcPr>
            <w:tcW w:w="212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其中-财政拨款: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120</w:t>
            </w:r>
          </w:p>
        </w:tc>
        <w:tc>
          <w:tcPr>
            <w:tcW w:w="33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其中-财政拨款:</w:t>
            </w:r>
          </w:p>
        </w:tc>
        <w:tc>
          <w:tcPr>
            <w:tcW w:w="1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120</w:t>
            </w:r>
          </w:p>
        </w:tc>
      </w:tr>
      <w:tr>
        <w:tblPrEx>
          <w:tblCellMar>
            <w:top w:w="0" w:type="dxa"/>
            <w:left w:w="0" w:type="dxa"/>
            <w:bottom w:w="0" w:type="dxa"/>
            <w:right w:w="0" w:type="dxa"/>
          </w:tblCellMar>
        </w:tblPrEx>
        <w:trPr>
          <w:trHeight w:val="567" w:hRule="atLeast"/>
        </w:trPr>
        <w:tc>
          <w:tcPr>
            <w:tcW w:w="100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80" w:lineRule="exact"/>
              <w:jc w:val="center"/>
              <w:rPr>
                <w:rFonts w:eastAsia="方正黑体简体"/>
                <w:b/>
                <w:color w:val="000000"/>
                <w:sz w:val="24"/>
              </w:rPr>
            </w:pPr>
          </w:p>
        </w:tc>
        <w:tc>
          <w:tcPr>
            <w:tcW w:w="212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其它资金:</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0</w:t>
            </w:r>
          </w:p>
        </w:tc>
        <w:tc>
          <w:tcPr>
            <w:tcW w:w="33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其它资金:</w:t>
            </w:r>
          </w:p>
        </w:tc>
        <w:tc>
          <w:tcPr>
            <w:tcW w:w="1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80" w:lineRule="exact"/>
              <w:jc w:val="center"/>
              <w:rPr>
                <w:rFonts w:eastAsia="方正仿宋简体"/>
                <w:b/>
                <w:color w:val="000000"/>
                <w:sz w:val="24"/>
              </w:rPr>
            </w:pPr>
            <w:r>
              <w:rPr>
                <w:rFonts w:eastAsia="方正仿宋简体"/>
                <w:b/>
                <w:color w:val="000000"/>
                <w:sz w:val="24"/>
              </w:rPr>
              <w:t>0</w:t>
            </w:r>
          </w:p>
        </w:tc>
      </w:tr>
      <w:tr>
        <w:tblPrEx>
          <w:tblCellMar>
            <w:top w:w="0" w:type="dxa"/>
            <w:left w:w="0" w:type="dxa"/>
            <w:bottom w:w="0" w:type="dxa"/>
            <w:right w:w="0" w:type="dxa"/>
          </w:tblCellMar>
        </w:tblPrEx>
        <w:trPr>
          <w:trHeight w:val="681" w:hRule="atLeast"/>
        </w:trPr>
        <w:tc>
          <w:tcPr>
            <w:tcW w:w="100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jc w:val="center"/>
              <w:textAlignment w:val="center"/>
              <w:rPr>
                <w:rFonts w:eastAsia="方正黑体简体"/>
                <w:b/>
                <w:color w:val="000000"/>
                <w:kern w:val="0"/>
                <w:sz w:val="24"/>
              </w:rPr>
            </w:pPr>
            <w:r>
              <w:rPr>
                <w:rFonts w:eastAsia="方正黑体简体"/>
                <w:b/>
                <w:color w:val="000000"/>
                <w:kern w:val="0"/>
                <w:sz w:val="24"/>
              </w:rPr>
              <w:t>年度</w:t>
            </w:r>
          </w:p>
          <w:p>
            <w:pPr>
              <w:widowControl/>
              <w:spacing w:line="300" w:lineRule="exact"/>
              <w:jc w:val="center"/>
              <w:textAlignment w:val="center"/>
              <w:rPr>
                <w:rFonts w:eastAsia="方正黑体简体"/>
                <w:b/>
                <w:color w:val="000000"/>
                <w:kern w:val="0"/>
                <w:sz w:val="24"/>
              </w:rPr>
            </w:pPr>
            <w:r>
              <w:rPr>
                <w:rFonts w:eastAsia="方正黑体简体"/>
                <w:b/>
                <w:color w:val="000000"/>
                <w:kern w:val="0"/>
                <w:sz w:val="24"/>
              </w:rPr>
              <w:t>目标</w:t>
            </w:r>
          </w:p>
          <w:p>
            <w:pPr>
              <w:widowControl/>
              <w:spacing w:line="300" w:lineRule="exact"/>
              <w:jc w:val="center"/>
              <w:textAlignment w:val="center"/>
              <w:rPr>
                <w:rFonts w:eastAsia="方正黑体简体"/>
                <w:b/>
                <w:color w:val="000000"/>
                <w:kern w:val="0"/>
                <w:sz w:val="24"/>
              </w:rPr>
            </w:pPr>
            <w:r>
              <w:rPr>
                <w:rFonts w:eastAsia="方正黑体简体"/>
                <w:b/>
                <w:color w:val="000000"/>
                <w:kern w:val="0"/>
                <w:sz w:val="24"/>
              </w:rPr>
              <w:t>完成</w:t>
            </w:r>
          </w:p>
          <w:p>
            <w:pPr>
              <w:widowControl/>
              <w:spacing w:line="300" w:lineRule="exact"/>
              <w:jc w:val="center"/>
              <w:textAlignment w:val="center"/>
              <w:rPr>
                <w:rFonts w:eastAsia="方正黑体简体"/>
                <w:b/>
                <w:color w:val="000000"/>
                <w:sz w:val="24"/>
              </w:rPr>
            </w:pPr>
            <w:r>
              <w:rPr>
                <w:rFonts w:eastAsia="方正黑体简体"/>
                <w:b/>
                <w:color w:val="000000"/>
                <w:kern w:val="0"/>
                <w:sz w:val="24"/>
              </w:rPr>
              <w:t>情况</w:t>
            </w:r>
          </w:p>
        </w:tc>
        <w:tc>
          <w:tcPr>
            <w:tcW w:w="326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预期目标</w:t>
            </w:r>
          </w:p>
        </w:tc>
        <w:tc>
          <w:tcPr>
            <w:tcW w:w="524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实际完成目标</w:t>
            </w:r>
          </w:p>
        </w:tc>
      </w:tr>
      <w:tr>
        <w:tblPrEx>
          <w:tblCellMar>
            <w:top w:w="0" w:type="dxa"/>
            <w:left w:w="0" w:type="dxa"/>
            <w:bottom w:w="0" w:type="dxa"/>
            <w:right w:w="0" w:type="dxa"/>
          </w:tblCellMar>
        </w:tblPrEx>
        <w:trPr>
          <w:trHeight w:val="691" w:hRule="atLeast"/>
        </w:trPr>
        <w:tc>
          <w:tcPr>
            <w:tcW w:w="100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00" w:lineRule="exact"/>
              <w:jc w:val="center"/>
              <w:rPr>
                <w:rFonts w:eastAsia="方正黑体简体"/>
                <w:b/>
                <w:color w:val="000000"/>
                <w:sz w:val="24"/>
              </w:rPr>
            </w:pPr>
          </w:p>
        </w:tc>
        <w:tc>
          <w:tcPr>
            <w:tcW w:w="326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保障2019年两轮常规巡察及一轮专项巡察圆满完成</w:t>
            </w:r>
          </w:p>
        </w:tc>
        <w:tc>
          <w:tcPr>
            <w:tcW w:w="524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圆满完成2019年两轮常规巡察及一轮专项巡察</w:t>
            </w:r>
          </w:p>
        </w:tc>
      </w:tr>
      <w:tr>
        <w:tblPrEx>
          <w:tblCellMar>
            <w:top w:w="0" w:type="dxa"/>
            <w:left w:w="0" w:type="dxa"/>
            <w:bottom w:w="0" w:type="dxa"/>
            <w:right w:w="0" w:type="dxa"/>
          </w:tblCellMar>
        </w:tblPrEx>
        <w:trPr>
          <w:trHeight w:val="921" w:hRule="atLeast"/>
        </w:trPr>
        <w:tc>
          <w:tcPr>
            <w:tcW w:w="1008"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eastAsia="方正黑体简体"/>
                <w:b/>
                <w:color w:val="000000"/>
                <w:sz w:val="24"/>
              </w:rPr>
            </w:pPr>
            <w:r>
              <w:rPr>
                <w:rFonts w:eastAsia="方正黑体简体"/>
                <w:b/>
                <w:color w:val="000000"/>
                <w:sz w:val="24"/>
              </w:rPr>
              <w:t>绩效</w:t>
            </w:r>
          </w:p>
          <w:p>
            <w:pPr>
              <w:widowControl/>
              <w:spacing w:line="400" w:lineRule="exact"/>
              <w:jc w:val="center"/>
              <w:textAlignment w:val="center"/>
              <w:rPr>
                <w:rFonts w:eastAsia="方正黑体简体"/>
                <w:b/>
                <w:color w:val="000000"/>
                <w:sz w:val="24"/>
              </w:rPr>
            </w:pPr>
            <w:r>
              <w:rPr>
                <w:rFonts w:eastAsia="方正黑体简体"/>
                <w:b/>
                <w:color w:val="000000"/>
                <w:sz w:val="24"/>
              </w:rPr>
              <w:t>指标</w:t>
            </w:r>
          </w:p>
          <w:p>
            <w:pPr>
              <w:widowControl/>
              <w:spacing w:line="400" w:lineRule="exact"/>
              <w:jc w:val="center"/>
              <w:textAlignment w:val="center"/>
              <w:rPr>
                <w:rFonts w:eastAsia="方正黑体简体"/>
                <w:b/>
                <w:color w:val="000000"/>
                <w:sz w:val="24"/>
              </w:rPr>
            </w:pPr>
            <w:r>
              <w:rPr>
                <w:rFonts w:eastAsia="方正黑体简体"/>
                <w:b/>
                <w:color w:val="000000"/>
                <w:sz w:val="24"/>
              </w:rPr>
              <w:t>完成</w:t>
            </w:r>
          </w:p>
          <w:p>
            <w:pPr>
              <w:widowControl/>
              <w:spacing w:line="400" w:lineRule="exact"/>
              <w:jc w:val="center"/>
              <w:textAlignment w:val="center"/>
              <w:rPr>
                <w:rFonts w:eastAsia="方正黑体简体"/>
                <w:b/>
                <w:color w:val="000000"/>
                <w:sz w:val="24"/>
              </w:rPr>
            </w:pPr>
            <w:r>
              <w:rPr>
                <w:rFonts w:eastAsia="方正黑体简体"/>
                <w:b/>
                <w:color w:val="000000"/>
                <w:sz w:val="24"/>
              </w:rPr>
              <w:t>情况</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一级</w:t>
            </w:r>
          </w:p>
          <w:p>
            <w:pPr>
              <w:widowControl/>
              <w:spacing w:line="280" w:lineRule="exact"/>
              <w:jc w:val="center"/>
              <w:textAlignment w:val="center"/>
              <w:rPr>
                <w:rFonts w:eastAsia="方正黑体简体"/>
                <w:b/>
                <w:color w:val="000000"/>
                <w:sz w:val="24"/>
              </w:rPr>
            </w:pPr>
            <w:r>
              <w:rPr>
                <w:rFonts w:eastAsia="方正黑体简体"/>
                <w:b/>
                <w:color w:val="000000"/>
                <w:kern w:val="0"/>
                <w:sz w:val="24"/>
              </w:rPr>
              <w:t>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二级</w:t>
            </w:r>
          </w:p>
          <w:p>
            <w:pPr>
              <w:widowControl/>
              <w:spacing w:line="280" w:lineRule="exact"/>
              <w:jc w:val="center"/>
              <w:textAlignment w:val="center"/>
              <w:rPr>
                <w:rFonts w:eastAsia="方正黑体简体"/>
                <w:b/>
                <w:color w:val="000000"/>
                <w:sz w:val="24"/>
              </w:rPr>
            </w:pPr>
            <w:r>
              <w:rPr>
                <w:rFonts w:eastAsia="方正黑体简体"/>
                <w:b/>
                <w:color w:val="000000"/>
                <w:kern w:val="0"/>
                <w:sz w:val="24"/>
              </w:rPr>
              <w:t>指标</w:t>
            </w:r>
          </w:p>
        </w:tc>
        <w:tc>
          <w:tcPr>
            <w:tcW w:w="14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三级指标</w:t>
            </w: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预期指标值(包含数字</w:t>
            </w:r>
          </w:p>
          <w:p>
            <w:pPr>
              <w:widowControl/>
              <w:spacing w:line="280" w:lineRule="exact"/>
              <w:jc w:val="center"/>
              <w:textAlignment w:val="center"/>
              <w:rPr>
                <w:rFonts w:eastAsia="方正黑体简体"/>
                <w:b/>
                <w:color w:val="000000"/>
                <w:sz w:val="24"/>
              </w:rPr>
            </w:pPr>
            <w:r>
              <w:rPr>
                <w:rFonts w:eastAsia="方正黑体简体"/>
                <w:b/>
                <w:color w:val="000000"/>
                <w:kern w:val="0"/>
                <w:sz w:val="24"/>
              </w:rPr>
              <w:t>及文字描述)</w:t>
            </w:r>
          </w:p>
        </w:tc>
        <w:tc>
          <w:tcPr>
            <w:tcW w:w="26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实际完成指标值</w:t>
            </w:r>
          </w:p>
          <w:p>
            <w:pPr>
              <w:widowControl/>
              <w:spacing w:line="280" w:lineRule="exact"/>
              <w:jc w:val="center"/>
              <w:textAlignment w:val="center"/>
              <w:rPr>
                <w:rFonts w:eastAsia="方正黑体简体"/>
                <w:b/>
                <w:color w:val="000000"/>
                <w:sz w:val="24"/>
              </w:rPr>
            </w:pPr>
            <w:r>
              <w:rPr>
                <w:rFonts w:eastAsia="方正黑体简体"/>
                <w:b/>
                <w:color w:val="000000"/>
                <w:kern w:val="0"/>
                <w:sz w:val="24"/>
              </w:rPr>
              <w:t>(包含数字及文字描述)</w:t>
            </w:r>
          </w:p>
        </w:tc>
      </w:tr>
      <w:tr>
        <w:tblPrEx>
          <w:tblCellMar>
            <w:top w:w="0" w:type="dxa"/>
            <w:left w:w="0" w:type="dxa"/>
            <w:bottom w:w="0" w:type="dxa"/>
            <w:right w:w="0" w:type="dxa"/>
          </w:tblCellMar>
        </w:tblPrEx>
        <w:trPr>
          <w:trHeight w:val="1295" w:hRule="atLeast"/>
        </w:trPr>
        <w:tc>
          <w:tcPr>
            <w:tcW w:w="1008" w:type="dxa"/>
            <w:vMerge w:val="continue"/>
            <w:tcBorders>
              <w:left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kern w:val="0"/>
                <w:sz w:val="24"/>
              </w:rPr>
              <w:t>项目完成指标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数量</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指标</w:t>
            </w:r>
          </w:p>
        </w:tc>
        <w:tc>
          <w:tcPr>
            <w:tcW w:w="14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完成2019年两轮常规巡察及一轮专项巡察</w:t>
            </w: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5"/>
              <w:adjustRightInd w:val="0"/>
              <w:snapToGrid w:val="0"/>
              <w:spacing w:before="93" w:line="280" w:lineRule="exact"/>
              <w:outlineLvl w:val="2"/>
              <w:rPr>
                <w:rFonts w:ascii="Times New Roman" w:eastAsia="方正仿宋简体"/>
                <w:b/>
                <w:color w:val="000000"/>
                <w:sz w:val="24"/>
              </w:rPr>
            </w:pPr>
            <w:r>
              <w:rPr>
                <w:rFonts w:ascii="Times New Roman" w:eastAsia="方正仿宋简体"/>
                <w:b/>
                <w:color w:val="000000"/>
                <w:sz w:val="24"/>
              </w:rPr>
              <w:t>完成巡察县直部门9个、乡镇6个、县属学校5个，县属医院3个。</w:t>
            </w:r>
          </w:p>
        </w:tc>
        <w:tc>
          <w:tcPr>
            <w:tcW w:w="26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5"/>
              <w:adjustRightInd w:val="0"/>
              <w:snapToGrid w:val="0"/>
              <w:spacing w:before="93" w:line="280" w:lineRule="exact"/>
              <w:outlineLvl w:val="2"/>
              <w:rPr>
                <w:rFonts w:ascii="Times New Roman" w:eastAsia="方正仿宋简体"/>
                <w:b/>
                <w:color w:val="000000"/>
                <w:sz w:val="24"/>
              </w:rPr>
            </w:pPr>
            <w:r>
              <w:rPr>
                <w:rFonts w:ascii="Times New Roman" w:eastAsia="方正仿宋简体"/>
                <w:b/>
                <w:color w:val="000000"/>
                <w:sz w:val="24"/>
              </w:rPr>
              <w:t>完成巡察县直部门9个、乡镇6个、县属学校5个，县属医院3个。</w:t>
            </w:r>
          </w:p>
        </w:tc>
      </w:tr>
      <w:tr>
        <w:tblPrEx>
          <w:tblCellMar>
            <w:top w:w="0" w:type="dxa"/>
            <w:left w:w="0" w:type="dxa"/>
            <w:bottom w:w="0" w:type="dxa"/>
            <w:right w:w="0" w:type="dxa"/>
          </w:tblCellMar>
        </w:tblPrEx>
        <w:trPr>
          <w:trHeight w:val="737" w:hRule="atLeast"/>
        </w:trPr>
        <w:tc>
          <w:tcPr>
            <w:tcW w:w="1008" w:type="dxa"/>
            <w:vMerge w:val="continue"/>
            <w:tcBorders>
              <w:left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kern w:val="0"/>
                <w:sz w:val="24"/>
              </w:rPr>
              <w:t>项目完成指标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质量</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指标</w:t>
            </w:r>
          </w:p>
        </w:tc>
        <w:tc>
          <w:tcPr>
            <w:tcW w:w="14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高质量完成巡察任务</w:t>
            </w: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高质量完成巡察任务</w:t>
            </w:r>
          </w:p>
        </w:tc>
        <w:tc>
          <w:tcPr>
            <w:tcW w:w="26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高质量完成巡察任务</w:t>
            </w:r>
          </w:p>
        </w:tc>
      </w:tr>
      <w:tr>
        <w:tblPrEx>
          <w:tblCellMar>
            <w:top w:w="0" w:type="dxa"/>
            <w:left w:w="0" w:type="dxa"/>
            <w:bottom w:w="0" w:type="dxa"/>
            <w:right w:w="0" w:type="dxa"/>
          </w:tblCellMar>
        </w:tblPrEx>
        <w:trPr>
          <w:trHeight w:val="737" w:hRule="atLeast"/>
        </w:trPr>
        <w:tc>
          <w:tcPr>
            <w:tcW w:w="1008" w:type="dxa"/>
            <w:vMerge w:val="continue"/>
            <w:tcBorders>
              <w:left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kern w:val="0"/>
                <w:sz w:val="24"/>
              </w:rPr>
              <w:t>项目完成指标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时效</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指标</w:t>
            </w:r>
          </w:p>
        </w:tc>
        <w:tc>
          <w:tcPr>
            <w:tcW w:w="14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完成时间</w:t>
            </w: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2019年12月31日前</w:t>
            </w:r>
          </w:p>
        </w:tc>
        <w:tc>
          <w:tcPr>
            <w:tcW w:w="26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2019年12月31日前</w:t>
            </w:r>
          </w:p>
        </w:tc>
      </w:tr>
      <w:tr>
        <w:tblPrEx>
          <w:tblCellMar>
            <w:top w:w="0" w:type="dxa"/>
            <w:left w:w="0" w:type="dxa"/>
            <w:bottom w:w="0" w:type="dxa"/>
            <w:right w:w="0" w:type="dxa"/>
          </w:tblCellMar>
        </w:tblPrEx>
        <w:trPr>
          <w:trHeight w:val="1021" w:hRule="atLeast"/>
        </w:trPr>
        <w:tc>
          <w:tcPr>
            <w:tcW w:w="1008" w:type="dxa"/>
            <w:vMerge w:val="continue"/>
            <w:tcBorders>
              <w:left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kern w:val="0"/>
                <w:sz w:val="24"/>
              </w:rPr>
            </w:pPr>
            <w:r>
              <w:rPr>
                <w:rFonts w:eastAsia="方正仿宋简体"/>
                <w:b/>
                <w:color w:val="000000"/>
                <w:kern w:val="0"/>
                <w:sz w:val="24"/>
              </w:rPr>
              <w:t>项目完成指标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成本</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指标</w:t>
            </w:r>
          </w:p>
        </w:tc>
        <w:tc>
          <w:tcPr>
            <w:tcW w:w="14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三个巡察组巡察期间各种费用</w:t>
            </w: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120万元</w:t>
            </w:r>
          </w:p>
        </w:tc>
        <w:tc>
          <w:tcPr>
            <w:tcW w:w="26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120万元</w:t>
            </w:r>
          </w:p>
        </w:tc>
      </w:tr>
      <w:tr>
        <w:tblPrEx>
          <w:tblCellMar>
            <w:top w:w="0" w:type="dxa"/>
            <w:left w:w="0" w:type="dxa"/>
            <w:bottom w:w="0" w:type="dxa"/>
            <w:right w:w="0" w:type="dxa"/>
          </w:tblCellMar>
        </w:tblPrEx>
        <w:trPr>
          <w:trHeight w:val="737" w:hRule="atLeast"/>
        </w:trPr>
        <w:tc>
          <w:tcPr>
            <w:tcW w:w="1008" w:type="dxa"/>
            <w:vMerge w:val="continue"/>
            <w:tcBorders>
              <w:left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kern w:val="0"/>
                <w:sz w:val="24"/>
              </w:rPr>
            </w:pPr>
            <w:r>
              <w:rPr>
                <w:rFonts w:eastAsia="方正仿宋简体"/>
                <w:b/>
                <w:color w:val="000000"/>
                <w:kern w:val="0"/>
                <w:sz w:val="24"/>
              </w:rPr>
              <w:t>效益</w:t>
            </w:r>
          </w:p>
          <w:p>
            <w:pPr>
              <w:widowControl/>
              <w:spacing w:line="280" w:lineRule="exact"/>
              <w:jc w:val="center"/>
              <w:textAlignment w:val="center"/>
              <w:rPr>
                <w:rFonts w:eastAsia="方正仿宋简体"/>
                <w:b/>
                <w:color w:val="000000"/>
                <w:sz w:val="24"/>
              </w:rPr>
            </w:pPr>
            <w:r>
              <w:rPr>
                <w:rFonts w:eastAsia="方正仿宋简体"/>
                <w:b/>
                <w:color w:val="000000"/>
                <w:kern w:val="0"/>
                <w:sz w:val="24"/>
              </w:rPr>
              <w:t>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社会效益指标</w:t>
            </w:r>
          </w:p>
        </w:tc>
        <w:tc>
          <w:tcPr>
            <w:tcW w:w="14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发现问题，</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促进发展</w:t>
            </w: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发现问题，促进发展</w:t>
            </w:r>
          </w:p>
        </w:tc>
        <w:tc>
          <w:tcPr>
            <w:tcW w:w="26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发现问题，促进发展</w:t>
            </w:r>
          </w:p>
        </w:tc>
      </w:tr>
      <w:tr>
        <w:tblPrEx>
          <w:tblCellMar>
            <w:top w:w="0" w:type="dxa"/>
            <w:left w:w="0" w:type="dxa"/>
            <w:bottom w:w="0" w:type="dxa"/>
            <w:right w:w="0" w:type="dxa"/>
          </w:tblCellMar>
        </w:tblPrEx>
        <w:trPr>
          <w:trHeight w:val="737" w:hRule="atLeast"/>
        </w:trPr>
        <w:tc>
          <w:tcPr>
            <w:tcW w:w="1008" w:type="dxa"/>
            <w:vMerge w:val="continue"/>
            <w:tcBorders>
              <w:left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kern w:val="0"/>
                <w:sz w:val="24"/>
              </w:rPr>
              <w:t>满意度指标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满意度指标</w:t>
            </w:r>
          </w:p>
        </w:tc>
        <w:tc>
          <w:tcPr>
            <w:tcW w:w="14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巡察组</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满意度</w:t>
            </w: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&gt;98%</w:t>
            </w:r>
          </w:p>
        </w:tc>
        <w:tc>
          <w:tcPr>
            <w:tcW w:w="26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&gt;99%</w:t>
            </w:r>
          </w:p>
        </w:tc>
      </w:tr>
      <w:tr>
        <w:tblPrEx>
          <w:tblCellMar>
            <w:top w:w="0" w:type="dxa"/>
            <w:left w:w="0" w:type="dxa"/>
            <w:bottom w:w="0" w:type="dxa"/>
            <w:right w:w="0" w:type="dxa"/>
          </w:tblCellMar>
        </w:tblPrEx>
        <w:trPr>
          <w:trHeight w:val="737" w:hRule="atLeast"/>
        </w:trPr>
        <w:tc>
          <w:tcPr>
            <w:tcW w:w="1008" w:type="dxa"/>
            <w:vMerge w:val="continue"/>
            <w:tcBorders>
              <w:left w:val="single" w:color="000000" w:sz="4" w:space="0"/>
              <w:bottom w:val="single" w:color="auto"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kern w:val="0"/>
                <w:sz w:val="24"/>
              </w:rPr>
              <w:t>满意度指标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满意度指标</w:t>
            </w:r>
          </w:p>
        </w:tc>
        <w:tc>
          <w:tcPr>
            <w:tcW w:w="14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预算单位</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满意度</w:t>
            </w: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&gt;97%</w:t>
            </w:r>
          </w:p>
        </w:tc>
        <w:tc>
          <w:tcPr>
            <w:tcW w:w="26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&gt;98%</w:t>
            </w:r>
          </w:p>
        </w:tc>
      </w:tr>
    </w:tbl>
    <w:p>
      <w:pPr>
        <w:spacing w:beforeLines="50" w:line="570" w:lineRule="exact"/>
        <w:ind w:left="629"/>
        <w:rPr>
          <w:rFonts w:eastAsia="方正仿宋简体"/>
          <w:b/>
          <w:sz w:val="32"/>
          <w:szCs w:val="32"/>
        </w:rPr>
      </w:pPr>
      <w:r>
        <w:rPr>
          <w:rFonts w:eastAsia="方正仿宋简体"/>
          <w:b/>
          <w:sz w:val="32"/>
          <w:szCs w:val="32"/>
        </w:rPr>
        <w:t>2.部门绩效评价结果。</w:t>
      </w:r>
    </w:p>
    <w:p>
      <w:pPr>
        <w:spacing w:line="570" w:lineRule="exact"/>
        <w:ind w:firstLine="643" w:firstLineChars="200"/>
        <w:rPr>
          <w:rFonts w:eastAsia="方正仿宋简体"/>
          <w:b/>
          <w:sz w:val="32"/>
          <w:szCs w:val="32"/>
        </w:rPr>
      </w:pPr>
      <w:r>
        <w:rPr>
          <w:rFonts w:eastAsia="方正仿宋简体"/>
          <w:b/>
          <w:sz w:val="32"/>
          <w:szCs w:val="32"/>
        </w:rPr>
        <w:t>本部门按要求对2019年部门整体支出绩效评价情况开展自评，《泸县县委巡察办2019年部门整体支出绩效评价报告》见附件（附件1）。</w:t>
      </w:r>
    </w:p>
    <w:p>
      <w:pPr>
        <w:spacing w:line="570" w:lineRule="exact"/>
        <w:ind w:firstLine="643" w:firstLineChars="200"/>
        <w:rPr>
          <w:rFonts w:eastAsia="方正仿宋简体"/>
          <w:b/>
          <w:sz w:val="32"/>
          <w:szCs w:val="32"/>
        </w:rPr>
      </w:pPr>
      <w:r>
        <w:rPr>
          <w:rFonts w:eastAsia="方正仿宋简体"/>
          <w:b/>
          <w:sz w:val="32"/>
          <w:szCs w:val="32"/>
        </w:rPr>
        <w:t>本部门自行组织对巡察业务经费项目开展了绩效评价，《2019年巡察业务经费项目绩效评价报告》见附件（附件2）。</w:t>
      </w:r>
    </w:p>
    <w:p>
      <w:pPr>
        <w:spacing w:line="570" w:lineRule="exact"/>
        <w:ind w:firstLine="643" w:firstLineChars="200"/>
        <w:rPr>
          <w:rFonts w:eastAsia="方正仿宋简体"/>
          <w:b/>
          <w:color w:val="000000"/>
          <w:sz w:val="32"/>
          <w:szCs w:val="32"/>
        </w:rPr>
      </w:pPr>
    </w:p>
    <w:p>
      <w:pPr>
        <w:numPr>
          <w:ilvl w:val="0"/>
          <w:numId w:val="5"/>
        </w:numPr>
        <w:spacing w:line="600" w:lineRule="exact"/>
        <w:ind w:firstLine="542" w:firstLineChars="150"/>
        <w:jc w:val="center"/>
        <w:outlineLvl w:val="0"/>
        <w:rPr>
          <w:rStyle w:val="26"/>
          <w:rFonts w:eastAsia="方正小标宋简体"/>
          <w:b w:val="0"/>
          <w:sz w:val="36"/>
          <w:szCs w:val="36"/>
        </w:rPr>
      </w:pPr>
      <w:bookmarkStart w:id="14" w:name="_Toc15377225"/>
      <w:bookmarkStart w:id="15" w:name="_Toc15396613"/>
      <w:r>
        <w:rPr>
          <w:rFonts w:eastAsia="方正小标宋简体"/>
          <w:b/>
          <w:color w:val="000000"/>
          <w:sz w:val="36"/>
          <w:szCs w:val="36"/>
        </w:rPr>
        <w:t>名</w:t>
      </w:r>
      <w:r>
        <w:rPr>
          <w:rStyle w:val="26"/>
          <w:rFonts w:eastAsia="方正小标宋简体"/>
          <w:b w:val="0"/>
          <w:sz w:val="36"/>
          <w:szCs w:val="36"/>
        </w:rPr>
        <w:t>词解释</w:t>
      </w:r>
      <w:bookmarkEnd w:id="14"/>
      <w:bookmarkEnd w:id="15"/>
    </w:p>
    <w:p>
      <w:pPr>
        <w:spacing w:line="578" w:lineRule="exact"/>
        <w:jc w:val="left"/>
        <w:rPr>
          <w:rFonts w:eastAsia="方正仿宋简体"/>
          <w:b/>
          <w:color w:val="000000"/>
          <w:sz w:val="44"/>
          <w:szCs w:val="44"/>
        </w:rPr>
      </w:pP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1.财政拨款收入：指单位从同级财政部门取得的财政预算资金。</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2.事业收入：指事业单位开展专业业务活动及辅助活动取得的收入。</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3.经营收入：指事业单位在专业业务活动及其辅助活动之外开展非独立核算经营活动取得的收入。</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4.其他收入：指单位取得的除上述收入以外的各项收入。</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 xml:space="preserve">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 xml:space="preserve">6.年初结转和结余：指以前年度尚未完成、结转到本年按有关规定继续使用的资金。 </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7.结余分配：指事业单位按照事业单位会计制度的规定从非财政补助结余中分配的事业基金和职工福利基金等。</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8、年末结转和结余：指单位按有关规定结转到下年或以后年度继续使用的资金。</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9.</w:t>
      </w:r>
      <w:r>
        <w:rPr>
          <w:rFonts w:eastAsia="方正仿宋简体"/>
          <w:b/>
          <w:sz w:val="31"/>
          <w:szCs w:val="31"/>
          <w:shd w:val="clear" w:color="auto" w:fill="FFFFFF"/>
        </w:rPr>
        <w:t>一般公共服务（类）纪检监察事务（款）行政运行（项）（2011101）: 指行政单位（包括实行公务员管理的事业单位）的基本支出。</w:t>
      </w:r>
    </w:p>
    <w:p>
      <w:pPr>
        <w:spacing w:line="578" w:lineRule="exact"/>
        <w:ind w:firstLine="643" w:firstLineChars="200"/>
        <w:rPr>
          <w:rFonts w:eastAsia="方正仿宋简体"/>
          <w:b/>
          <w:sz w:val="31"/>
          <w:szCs w:val="31"/>
          <w:shd w:val="clear" w:color="auto" w:fill="FFFFFF"/>
        </w:rPr>
      </w:pPr>
      <w:r>
        <w:rPr>
          <w:rFonts w:eastAsia="方正仿宋简体"/>
          <w:b/>
          <w:color w:val="000000"/>
          <w:sz w:val="32"/>
          <w:szCs w:val="32"/>
        </w:rPr>
        <w:t>10.</w:t>
      </w:r>
      <w:r>
        <w:rPr>
          <w:rFonts w:eastAsia="方正仿宋简体"/>
          <w:b/>
          <w:sz w:val="31"/>
          <w:szCs w:val="31"/>
          <w:shd w:val="clear" w:color="auto" w:fill="FFFFFF"/>
        </w:rPr>
        <w:t>一般公共服务（类）纪检监察事务（款）一般行政管理事务（项）（2011102）: 指为完成巡察工作任务而发生的住宿费、生活费等巡察业务经费。</w:t>
      </w:r>
    </w:p>
    <w:p>
      <w:pPr>
        <w:spacing w:line="578" w:lineRule="exact"/>
        <w:ind w:firstLine="622" w:firstLineChars="200"/>
        <w:rPr>
          <w:rFonts w:eastAsia="方正仿宋简体"/>
          <w:b/>
          <w:color w:val="000000"/>
          <w:sz w:val="32"/>
          <w:szCs w:val="32"/>
        </w:rPr>
      </w:pPr>
      <w:r>
        <w:rPr>
          <w:rFonts w:eastAsia="方正仿宋简体"/>
          <w:b/>
          <w:color w:val="000000"/>
          <w:sz w:val="31"/>
          <w:szCs w:val="31"/>
          <w:shd w:val="clear" w:color="auto" w:fill="FFFFFF"/>
        </w:rPr>
        <w:t>11.社会保障和就业支出（类）行政事业单位离退休（款）机关事业单位基本养老保险缴费支出（项）（2080505）：指机关事业单位实施养老保险制度由单位缴纳的基本养老保险支出</w:t>
      </w:r>
      <w:r>
        <w:rPr>
          <w:rFonts w:eastAsia="方正仿宋简体"/>
          <w:b/>
          <w:color w:val="000000"/>
          <w:sz w:val="32"/>
          <w:szCs w:val="32"/>
        </w:rPr>
        <w:t>。</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12.</w:t>
      </w:r>
      <w:r>
        <w:rPr>
          <w:rFonts w:eastAsia="方正仿宋简体"/>
          <w:b/>
          <w:color w:val="000000"/>
          <w:sz w:val="31"/>
          <w:szCs w:val="31"/>
          <w:shd w:val="clear" w:color="auto" w:fill="FFFFFF"/>
        </w:rPr>
        <w:t>卫生健康支出（类）行政事业单位医疗（款）行政单位医疗（项）（2101101）：指财政部门集中安排的行政单位基本医疗保险缴费经费</w:t>
      </w:r>
      <w:r>
        <w:rPr>
          <w:rFonts w:eastAsia="方正仿宋简体"/>
          <w:b/>
          <w:color w:val="000000"/>
          <w:sz w:val="32"/>
          <w:szCs w:val="32"/>
        </w:rPr>
        <w:t>。</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13.</w:t>
      </w:r>
      <w:r>
        <w:rPr>
          <w:rFonts w:eastAsia="方正仿宋简体"/>
          <w:b/>
          <w:color w:val="000000"/>
          <w:sz w:val="31"/>
          <w:szCs w:val="31"/>
          <w:shd w:val="clear" w:color="auto" w:fill="FFFFFF"/>
        </w:rPr>
        <w:t>住房保障支出（类）住房改革支出（款）住房公积金（项）（2210201）：指行政事业单位按人力资源和社会保障部、财政部规定的基本工资和津贴补贴以及规定比例为职工缴纳的住房公积金。</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14.基本支出：指为保障机构正常运转、完成日常工作任务而发生的人员支出和公用支出。</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 xml:space="preserve">15.项目支出：指在基本支出之外为完成特定行政任务和事业发展目标所发生的支出。 </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16.经营支出：指事业单位在专业业务活动及其辅助活动之外开展非独立核算经营活动发生的支出。</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17.“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18.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600" w:lineRule="exact"/>
        <w:jc w:val="center"/>
        <w:outlineLvl w:val="0"/>
        <w:rPr>
          <w:rFonts w:eastAsia="黑体"/>
          <w:color w:val="000000"/>
          <w:sz w:val="44"/>
          <w:szCs w:val="44"/>
        </w:rPr>
      </w:pPr>
      <w:bookmarkStart w:id="16" w:name="_Toc15396614"/>
      <w:bookmarkStart w:id="17" w:name="_Toc15377226"/>
    </w:p>
    <w:p>
      <w:pPr>
        <w:spacing w:line="600" w:lineRule="exact"/>
        <w:jc w:val="center"/>
        <w:outlineLvl w:val="0"/>
        <w:rPr>
          <w:rStyle w:val="26"/>
          <w:rFonts w:eastAsia="方正小标宋简体"/>
          <w:b w:val="0"/>
          <w:sz w:val="36"/>
          <w:szCs w:val="36"/>
        </w:rPr>
      </w:pPr>
      <w:r>
        <w:rPr>
          <w:rFonts w:eastAsia="方正小标宋简体"/>
          <w:color w:val="000000"/>
          <w:sz w:val="36"/>
          <w:szCs w:val="36"/>
        </w:rPr>
        <w:t>第</w:t>
      </w:r>
      <w:r>
        <w:rPr>
          <w:rStyle w:val="26"/>
          <w:rFonts w:eastAsia="方正小标宋简体"/>
          <w:b w:val="0"/>
          <w:sz w:val="36"/>
          <w:szCs w:val="36"/>
        </w:rPr>
        <w:t>四部分 附件</w:t>
      </w:r>
      <w:bookmarkEnd w:id="16"/>
    </w:p>
    <w:p>
      <w:pPr>
        <w:spacing w:line="600" w:lineRule="exact"/>
        <w:jc w:val="left"/>
        <w:outlineLvl w:val="0"/>
        <w:rPr>
          <w:rFonts w:eastAsia="方正黑体简体"/>
          <w:b/>
          <w:sz w:val="32"/>
          <w:szCs w:val="32"/>
        </w:rPr>
      </w:pPr>
      <w:r>
        <w:rPr>
          <w:rFonts w:eastAsia="方正黑体简体"/>
          <w:b/>
          <w:sz w:val="32"/>
          <w:szCs w:val="32"/>
        </w:rPr>
        <w:t>附件1</w:t>
      </w:r>
    </w:p>
    <w:p>
      <w:pPr>
        <w:spacing w:line="580" w:lineRule="exact"/>
        <w:jc w:val="center"/>
        <w:rPr>
          <w:rFonts w:eastAsia="方正小标宋简体"/>
          <w:sz w:val="44"/>
          <w:szCs w:val="44"/>
        </w:rPr>
      </w:pPr>
    </w:p>
    <w:p>
      <w:pPr>
        <w:spacing w:line="600" w:lineRule="exact"/>
        <w:jc w:val="center"/>
        <w:rPr>
          <w:rFonts w:eastAsia="方正小标宋简体"/>
          <w:b/>
          <w:color w:val="000000"/>
          <w:kern w:val="0"/>
          <w:sz w:val="40"/>
          <w:szCs w:val="44"/>
          <w:lang w:val="zh-CN"/>
        </w:rPr>
      </w:pPr>
      <w:r>
        <w:rPr>
          <w:rFonts w:eastAsia="方正小标宋简体"/>
          <w:b/>
          <w:color w:val="000000"/>
          <w:kern w:val="0"/>
          <w:sz w:val="40"/>
          <w:szCs w:val="44"/>
        </w:rPr>
        <w:t>泸县县委巡察办2019年部门</w:t>
      </w:r>
      <w:r>
        <w:rPr>
          <w:rFonts w:eastAsia="方正小标宋简体"/>
          <w:b/>
          <w:color w:val="000000"/>
          <w:kern w:val="0"/>
          <w:sz w:val="40"/>
          <w:szCs w:val="44"/>
          <w:lang w:val="zh-CN"/>
        </w:rPr>
        <w:t>整体支出绩效评价</w:t>
      </w:r>
    </w:p>
    <w:p>
      <w:pPr>
        <w:spacing w:line="600" w:lineRule="exact"/>
        <w:jc w:val="center"/>
        <w:rPr>
          <w:rFonts w:eastAsia="方正小标宋简体"/>
          <w:b/>
          <w:color w:val="000000"/>
          <w:kern w:val="0"/>
          <w:sz w:val="40"/>
          <w:szCs w:val="44"/>
          <w:lang w:val="zh-CN"/>
        </w:rPr>
      </w:pPr>
      <w:r>
        <w:rPr>
          <w:rFonts w:eastAsia="方正小标宋简体"/>
          <w:b/>
          <w:color w:val="000000"/>
          <w:kern w:val="0"/>
          <w:sz w:val="40"/>
          <w:szCs w:val="44"/>
          <w:lang w:val="zh-CN"/>
        </w:rPr>
        <w:t>报   告</w:t>
      </w:r>
    </w:p>
    <w:p>
      <w:pPr>
        <w:widowControl/>
        <w:adjustRightInd w:val="0"/>
        <w:snapToGrid w:val="0"/>
        <w:spacing w:line="580" w:lineRule="exact"/>
        <w:ind w:firstLine="480" w:firstLineChars="200"/>
        <w:contextualSpacing/>
        <w:jc w:val="left"/>
        <w:rPr>
          <w:rFonts w:eastAsia="黑体"/>
          <w:color w:val="000000"/>
          <w:kern w:val="0"/>
          <w:sz w:val="24"/>
          <w:szCs w:val="32"/>
          <w:shd w:val="clear" w:color="auto" w:fill="FFFFFF"/>
        </w:rPr>
      </w:pPr>
    </w:p>
    <w:p>
      <w:pPr>
        <w:widowControl/>
        <w:adjustRightInd w:val="0"/>
        <w:snapToGrid w:val="0"/>
        <w:spacing w:line="578" w:lineRule="exact"/>
        <w:ind w:firstLine="643" w:firstLineChars="200"/>
        <w:contextualSpacing/>
        <w:jc w:val="left"/>
        <w:rPr>
          <w:rFonts w:eastAsia="方正黑体简体"/>
          <w:b/>
          <w:color w:val="000000"/>
          <w:kern w:val="0"/>
          <w:sz w:val="32"/>
          <w:szCs w:val="32"/>
          <w:shd w:val="clear" w:color="auto" w:fill="FFFFFF"/>
          <w:lang w:val="zh-CN"/>
        </w:rPr>
      </w:pPr>
      <w:r>
        <w:rPr>
          <w:rFonts w:eastAsia="方正黑体简体"/>
          <w:b/>
          <w:color w:val="000000"/>
          <w:kern w:val="0"/>
          <w:sz w:val="32"/>
          <w:szCs w:val="32"/>
          <w:shd w:val="clear" w:color="auto" w:fill="FFFFFF"/>
        </w:rPr>
        <w:t>一、</w:t>
      </w:r>
      <w:r>
        <w:rPr>
          <w:rFonts w:eastAsia="方正黑体简体"/>
          <w:b/>
          <w:color w:val="000000"/>
          <w:kern w:val="0"/>
          <w:sz w:val="32"/>
          <w:szCs w:val="32"/>
          <w:shd w:val="clear" w:color="auto" w:fill="FFFFFF"/>
          <w:lang w:val="zh-CN"/>
        </w:rPr>
        <w:t>部门（单位）概况</w:t>
      </w:r>
    </w:p>
    <w:p>
      <w:pPr>
        <w:widowControl/>
        <w:adjustRightInd w:val="0"/>
        <w:snapToGrid w:val="0"/>
        <w:spacing w:line="578" w:lineRule="exact"/>
        <w:ind w:firstLine="643" w:firstLineChars="200"/>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（一）机构组成。</w:t>
      </w:r>
    </w:p>
    <w:p>
      <w:pPr>
        <w:widowControl/>
        <w:adjustRightInd w:val="0"/>
        <w:snapToGrid w:val="0"/>
        <w:spacing w:line="578" w:lineRule="exact"/>
        <w:ind w:firstLine="643" w:firstLineChars="200"/>
        <w:contextualSpacing/>
        <w:jc w:val="left"/>
        <w:rPr>
          <w:rFonts w:eastAsia="方正仿宋简体"/>
          <w:b/>
          <w:color w:val="000000"/>
          <w:kern w:val="0"/>
          <w:sz w:val="32"/>
          <w:szCs w:val="32"/>
          <w:shd w:val="clear" w:color="auto" w:fill="FFFFFF"/>
          <w:lang w:val="zh-CN"/>
        </w:rPr>
      </w:pPr>
      <w:r>
        <w:rPr>
          <w:rFonts w:eastAsia="方正仿宋简体"/>
          <w:b/>
          <w:bCs/>
          <w:sz w:val="32"/>
          <w:szCs w:val="32"/>
        </w:rPr>
        <w:t>泸县县委巡察办是一级预算单位，属行政单位。</w:t>
      </w:r>
    </w:p>
    <w:p>
      <w:pPr>
        <w:widowControl/>
        <w:numPr>
          <w:ilvl w:val="0"/>
          <w:numId w:val="6"/>
        </w:numPr>
        <w:adjustRightInd w:val="0"/>
        <w:snapToGrid w:val="0"/>
        <w:spacing w:line="578" w:lineRule="exact"/>
        <w:ind w:firstLine="643" w:firstLineChars="200"/>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机构职能。</w:t>
      </w:r>
    </w:p>
    <w:p>
      <w:pPr>
        <w:snapToGrid w:val="0"/>
        <w:spacing w:line="578" w:lineRule="exact"/>
        <w:ind w:firstLine="643" w:firstLineChars="200"/>
        <w:rPr>
          <w:rFonts w:eastAsia="方正仿宋简体"/>
          <w:b/>
          <w:color w:val="000000"/>
          <w:kern w:val="0"/>
          <w:sz w:val="32"/>
          <w:szCs w:val="32"/>
          <w:shd w:val="clear" w:color="auto" w:fill="FFFFFF"/>
          <w:lang w:val="zh-CN"/>
        </w:rPr>
      </w:pPr>
      <w:r>
        <w:rPr>
          <w:rFonts w:eastAsia="方正仿宋简体"/>
          <w:b/>
          <w:sz w:val="32"/>
          <w:szCs w:val="32"/>
        </w:rPr>
        <w:t>承担县委巡察工作的组织部署、督促指导、联络协调；统筹、协调、指导巡察组开展工作；对县委和巡察工作领导小组决定的事项进行督办；负责省委巡视、市委巡察组到合巡视巡察的协调联络、办理交办事项、督促巡视巡察整改；配合县纪委、县委组织部及相关部门对巡察工作人员进行培训、考核、监督和管理等工作职能；承担上级巡视巡察联络相关工作。</w:t>
      </w:r>
    </w:p>
    <w:p>
      <w:pPr>
        <w:widowControl/>
        <w:numPr>
          <w:ilvl w:val="0"/>
          <w:numId w:val="6"/>
        </w:numPr>
        <w:adjustRightInd w:val="0"/>
        <w:snapToGrid w:val="0"/>
        <w:spacing w:line="578" w:lineRule="exact"/>
        <w:ind w:firstLine="643" w:firstLineChars="200"/>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人员概况。</w:t>
      </w:r>
    </w:p>
    <w:p>
      <w:pPr>
        <w:pStyle w:val="32"/>
        <w:autoSpaceDN w:val="0"/>
        <w:spacing w:line="578" w:lineRule="exact"/>
        <w:ind w:firstLine="643" w:firstLineChars="200"/>
        <w:jc w:val="left"/>
        <w:rPr>
          <w:rFonts w:eastAsia="方正仿宋简体"/>
          <w:b/>
          <w:color w:val="000000"/>
          <w:sz w:val="32"/>
          <w:szCs w:val="32"/>
          <w:shd w:val="clear" w:color="auto" w:fill="FFFFFF"/>
          <w:lang w:val="zh-CN"/>
        </w:rPr>
      </w:pPr>
      <w:r>
        <w:rPr>
          <w:rFonts w:eastAsia="方正仿宋简体"/>
          <w:b/>
          <w:bCs/>
          <w:sz w:val="32"/>
          <w:szCs w:val="32"/>
        </w:rPr>
        <w:t>机构规格为正科级，核定行政编制6名，设主任1名（正科级），副主任1名（副科级），科员4人。2019年末编制数6人，其中：行政编制6人；年末实有在职人数4人。</w:t>
      </w:r>
    </w:p>
    <w:p>
      <w:pPr>
        <w:widowControl/>
        <w:adjustRightInd w:val="0"/>
        <w:snapToGrid w:val="0"/>
        <w:spacing w:line="578" w:lineRule="exact"/>
        <w:ind w:firstLine="643" w:firstLineChars="200"/>
        <w:contextualSpacing/>
        <w:jc w:val="left"/>
        <w:rPr>
          <w:rFonts w:eastAsia="方正黑体简体"/>
          <w:b/>
          <w:color w:val="000000"/>
          <w:kern w:val="0"/>
          <w:sz w:val="32"/>
          <w:szCs w:val="32"/>
          <w:shd w:val="clear" w:color="auto" w:fill="FFFFFF"/>
        </w:rPr>
      </w:pPr>
      <w:r>
        <w:rPr>
          <w:rFonts w:eastAsia="方正黑体简体"/>
          <w:b/>
          <w:color w:val="000000"/>
          <w:kern w:val="0"/>
          <w:sz w:val="32"/>
          <w:szCs w:val="32"/>
          <w:shd w:val="clear" w:color="auto" w:fill="FFFFFF"/>
        </w:rPr>
        <w:t>二、部门财政资金收支情况</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（一）部门财政资金收入情况。</w:t>
      </w:r>
    </w:p>
    <w:p>
      <w:pPr>
        <w:spacing w:line="578" w:lineRule="exact"/>
        <w:ind w:firstLine="643" w:firstLineChars="200"/>
        <w:rPr>
          <w:rFonts w:eastAsia="方正仿宋简体"/>
          <w:b/>
          <w:color w:val="000000"/>
          <w:kern w:val="0"/>
          <w:sz w:val="32"/>
          <w:szCs w:val="32"/>
          <w:shd w:val="clear" w:color="auto" w:fill="FFFFFF"/>
          <w:lang w:val="zh-CN"/>
        </w:rPr>
      </w:pPr>
      <w:r>
        <w:rPr>
          <w:rFonts w:eastAsia="方正仿宋简体"/>
          <w:b/>
          <w:color w:val="000000"/>
          <w:sz w:val="32"/>
          <w:szCs w:val="32"/>
        </w:rPr>
        <w:t>2019年本年收入合计319.17万元，其中：一般公共预算财政拨款收入319.17万元，占100%；</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（二）部门财政资金支出情况。</w:t>
      </w:r>
    </w:p>
    <w:p>
      <w:pPr>
        <w:spacing w:line="578" w:lineRule="exact"/>
        <w:ind w:firstLine="643" w:firstLineChars="200"/>
        <w:rPr>
          <w:rFonts w:eastAsia="方正仿宋简体"/>
          <w:b/>
          <w:color w:val="FF0000"/>
          <w:sz w:val="32"/>
          <w:szCs w:val="32"/>
        </w:rPr>
      </w:pPr>
      <w:r>
        <w:rPr>
          <w:rFonts w:eastAsia="方正仿宋简体"/>
          <w:b/>
          <w:color w:val="000000"/>
          <w:sz w:val="32"/>
          <w:szCs w:val="32"/>
        </w:rPr>
        <w:t>2019年本年支出合计319.17万元，其中：基本支出184.17万元，占57.7%；项目支出135万元，占42.3%；</w:t>
      </w:r>
    </w:p>
    <w:p>
      <w:pPr>
        <w:widowControl/>
        <w:adjustRightInd w:val="0"/>
        <w:snapToGrid w:val="0"/>
        <w:spacing w:line="578" w:lineRule="exact"/>
        <w:ind w:firstLine="643" w:firstLineChars="200"/>
        <w:contextualSpacing/>
        <w:jc w:val="left"/>
        <w:rPr>
          <w:rFonts w:eastAsia="方正黑体简体"/>
          <w:b/>
          <w:color w:val="000000"/>
          <w:kern w:val="0"/>
          <w:sz w:val="32"/>
          <w:szCs w:val="32"/>
          <w:shd w:val="clear" w:color="auto" w:fill="FFFFFF"/>
        </w:rPr>
      </w:pPr>
      <w:r>
        <w:rPr>
          <w:rFonts w:eastAsia="方正黑体简体"/>
          <w:b/>
          <w:color w:val="000000"/>
          <w:kern w:val="0"/>
          <w:sz w:val="32"/>
          <w:szCs w:val="32"/>
          <w:shd w:val="clear" w:color="auto" w:fill="FFFFFF"/>
        </w:rPr>
        <w:t>三、部门整体预算绩效管理情况</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（一）部门预算管理。</w:t>
      </w:r>
    </w:p>
    <w:p>
      <w:pPr>
        <w:spacing w:line="578" w:lineRule="exact"/>
        <w:ind w:firstLine="643" w:firstLineChars="200"/>
        <w:rPr>
          <w:rFonts w:eastAsia="方正仿宋简体"/>
          <w:b/>
          <w:color w:val="000000"/>
          <w:kern w:val="0"/>
          <w:sz w:val="32"/>
          <w:szCs w:val="32"/>
        </w:rPr>
      </w:pPr>
      <w:r>
        <w:rPr>
          <w:rFonts w:eastAsia="方正仿宋简体"/>
          <w:b/>
          <w:color w:val="000000"/>
          <w:sz w:val="32"/>
          <w:szCs w:val="32"/>
        </w:rPr>
        <w:t>我单位在年初预算编制阶段，对整体支出开展了预算事前绩效评估，并制定了绩效目标。本单位部门整体预算绩效目标综合反映了整体支出将预期完成的数量、成本、时效、质量，预期达到的社会效益、经济效益、生态效益、可持续影响以及服务对象满意度等情况。在执行过程中，本单位严格控制整体支出的执行进度，并将整体支出控制在预算范围内，无违规情况发生。2019年本单位整体支出目标完成情况良好，达到了预期的目标及效果</w:t>
      </w:r>
      <w:r>
        <w:rPr>
          <w:rFonts w:eastAsia="方正仿宋简体"/>
          <w:b/>
          <w:color w:val="000000"/>
          <w:kern w:val="0"/>
          <w:sz w:val="32"/>
          <w:szCs w:val="32"/>
        </w:rPr>
        <w:t>。</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（二）结果应用情况。</w:t>
      </w:r>
    </w:p>
    <w:p>
      <w:pPr>
        <w:spacing w:line="578" w:lineRule="exact"/>
        <w:ind w:firstLine="643" w:firstLineChars="200"/>
        <w:rPr>
          <w:rFonts w:eastAsia="方正仿宋简体"/>
          <w:b/>
          <w:color w:val="000000"/>
          <w:kern w:val="0"/>
          <w:sz w:val="32"/>
          <w:szCs w:val="32"/>
          <w:shd w:val="clear" w:color="auto" w:fill="FFFFFF"/>
          <w:lang w:val="zh-CN"/>
        </w:rPr>
      </w:pPr>
      <w:r>
        <w:rPr>
          <w:rFonts w:eastAsia="方正仿宋简体"/>
          <w:b/>
          <w:color w:val="000000"/>
          <w:sz w:val="32"/>
          <w:szCs w:val="32"/>
        </w:rPr>
        <w:t>我单位根据年末工作完成情况，对照年初制定的绩效目标逐条考核完成情况，各项工作完成情况良好。绩效目标以及自评均按照要求通过部门预、决算进行公开，主动接受社会监督。根据绩效目标自评结果，调整下年度项目绩效目标的设立，以便更科学地对项目进行监督和绩效管理。</w:t>
      </w:r>
    </w:p>
    <w:p>
      <w:pPr>
        <w:widowControl/>
        <w:adjustRightInd w:val="0"/>
        <w:snapToGrid w:val="0"/>
        <w:spacing w:line="578" w:lineRule="exact"/>
        <w:ind w:firstLine="643" w:firstLineChars="200"/>
        <w:contextualSpacing/>
        <w:jc w:val="left"/>
        <w:rPr>
          <w:rFonts w:eastAsia="方正黑体简体"/>
          <w:b/>
          <w:color w:val="000000"/>
          <w:kern w:val="0"/>
          <w:sz w:val="32"/>
          <w:szCs w:val="32"/>
          <w:shd w:val="clear" w:color="auto" w:fill="FFFFFF"/>
        </w:rPr>
      </w:pPr>
      <w:r>
        <w:rPr>
          <w:rFonts w:eastAsia="方正黑体简体"/>
          <w:b/>
          <w:color w:val="000000"/>
          <w:kern w:val="0"/>
          <w:sz w:val="32"/>
          <w:szCs w:val="32"/>
          <w:shd w:val="clear" w:color="auto" w:fill="FFFFFF"/>
        </w:rPr>
        <w:t>四、评价结论及建议</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（一）评价结论。</w:t>
      </w:r>
    </w:p>
    <w:p>
      <w:pPr>
        <w:widowControl/>
        <w:spacing w:line="578" w:lineRule="exact"/>
        <w:ind w:firstLine="643" w:firstLineChars="200"/>
        <w:jc w:val="left"/>
        <w:rPr>
          <w:rFonts w:eastAsia="方正仿宋简体"/>
          <w:b/>
          <w:sz w:val="32"/>
          <w:szCs w:val="32"/>
        </w:rPr>
      </w:pPr>
      <w:r>
        <w:rPr>
          <w:rFonts w:eastAsia="方正仿宋简体"/>
          <w:b/>
          <w:color w:val="000000"/>
          <w:sz w:val="32"/>
          <w:szCs w:val="32"/>
        </w:rPr>
        <w:t>总体来看，我单位目标任务较明确，预算编制较准确，部门综合管理较规范，部门整体绩效良好，达到了预期目标。</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（二）存在问题。</w:t>
      </w:r>
    </w:p>
    <w:p>
      <w:pPr>
        <w:widowControl/>
        <w:spacing w:line="578" w:lineRule="exact"/>
        <w:ind w:firstLine="643" w:firstLineChars="200"/>
        <w:jc w:val="left"/>
        <w:rPr>
          <w:rFonts w:eastAsia="方正仿宋简体"/>
          <w:b/>
          <w:sz w:val="32"/>
          <w:szCs w:val="32"/>
        </w:rPr>
      </w:pPr>
      <w:r>
        <w:rPr>
          <w:rFonts w:eastAsia="方正仿宋简体"/>
          <w:b/>
          <w:color w:val="000000"/>
          <w:sz w:val="32"/>
          <w:szCs w:val="32"/>
        </w:rPr>
        <w:t>一是绩效目标设定不够精细，二是预算编制不够精准。</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（三）改进建议。</w:t>
      </w:r>
    </w:p>
    <w:p>
      <w:pPr>
        <w:widowControl/>
        <w:spacing w:line="578" w:lineRule="exact"/>
        <w:ind w:firstLine="643" w:firstLineChars="200"/>
        <w:jc w:val="left"/>
        <w:rPr>
          <w:rFonts w:eastAsia="方正仿宋简体"/>
          <w:b/>
          <w:color w:val="000000"/>
          <w:sz w:val="32"/>
          <w:szCs w:val="32"/>
        </w:rPr>
      </w:pPr>
      <w:r>
        <w:rPr>
          <w:rFonts w:eastAsia="方正仿宋简体"/>
          <w:b/>
          <w:color w:val="000000"/>
          <w:sz w:val="32"/>
          <w:szCs w:val="32"/>
        </w:rPr>
        <w:t>一是进一步细化目标设定，二是进一步精准编制预算，最大限度达到厉行节约。</w:t>
      </w:r>
    </w:p>
    <w:p>
      <w:pPr>
        <w:widowControl/>
        <w:spacing w:line="578" w:lineRule="exact"/>
        <w:ind w:firstLine="643" w:firstLineChars="200"/>
        <w:jc w:val="left"/>
        <w:rPr>
          <w:rFonts w:eastAsia="方正仿宋简体"/>
          <w:b/>
          <w:color w:val="000000"/>
          <w:sz w:val="32"/>
          <w:szCs w:val="32"/>
        </w:rPr>
      </w:pPr>
    </w:p>
    <w:p>
      <w:pPr>
        <w:widowControl/>
        <w:spacing w:line="578" w:lineRule="exact"/>
        <w:ind w:firstLine="643" w:firstLineChars="200"/>
        <w:jc w:val="left"/>
        <w:rPr>
          <w:rFonts w:eastAsia="方正仿宋简体"/>
          <w:b/>
          <w:color w:val="000000"/>
          <w:sz w:val="32"/>
          <w:szCs w:val="32"/>
        </w:rPr>
      </w:pPr>
    </w:p>
    <w:p>
      <w:pPr>
        <w:pStyle w:val="12"/>
        <w:widowControl/>
        <w:shd w:val="clear" w:color="auto" w:fill="FFFFFF"/>
        <w:spacing w:beforeAutospacing="0" w:afterAutospacing="0" w:line="578" w:lineRule="atLeast"/>
        <w:ind w:firstLine="1446" w:firstLineChars="400"/>
        <w:jc w:val="both"/>
        <w:rPr>
          <w:rFonts w:eastAsia="方正小标宋简体"/>
          <w:b/>
          <w:bCs/>
          <w:color w:val="000000"/>
          <w:kern w:val="2"/>
          <w:sz w:val="36"/>
          <w:szCs w:val="36"/>
        </w:rPr>
      </w:pPr>
      <w:r>
        <w:rPr>
          <w:rFonts w:eastAsia="方正小标宋简体"/>
          <w:b/>
          <w:bCs/>
          <w:color w:val="000000"/>
          <w:kern w:val="2"/>
          <w:sz w:val="36"/>
          <w:szCs w:val="36"/>
        </w:rPr>
        <w:t>2019年度部门整体支出绩效目标自评表</w:t>
      </w:r>
    </w:p>
    <w:p>
      <w:pPr>
        <w:pStyle w:val="12"/>
        <w:widowControl/>
        <w:shd w:val="clear" w:color="auto" w:fill="FFFFFF"/>
        <w:spacing w:beforeAutospacing="0" w:afterAutospacing="0" w:line="400" w:lineRule="exact"/>
        <w:ind w:firstLine="1446" w:firstLineChars="400"/>
        <w:jc w:val="both"/>
        <w:rPr>
          <w:rFonts w:eastAsia="方正小标宋简体"/>
          <w:b/>
          <w:bCs/>
          <w:color w:val="000000"/>
          <w:kern w:val="2"/>
          <w:sz w:val="36"/>
          <w:szCs w:val="36"/>
        </w:rPr>
      </w:pPr>
    </w:p>
    <w:tbl>
      <w:tblPr>
        <w:tblStyle w:val="1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72"/>
        <w:gridCol w:w="1661"/>
        <w:gridCol w:w="2162"/>
        <w:gridCol w:w="170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9" w:hRule="atLeast"/>
        </w:trPr>
        <w:tc>
          <w:tcPr>
            <w:tcW w:w="167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一级指标</w:t>
            </w:r>
          </w:p>
        </w:tc>
        <w:tc>
          <w:tcPr>
            <w:tcW w:w="166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二级指标</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三级指标</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指标分值</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预算部门管理（80分）</w:t>
            </w:r>
          </w:p>
        </w:tc>
        <w:tc>
          <w:tcPr>
            <w:tcW w:w="1661"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预算编制</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目标制定</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目标完成</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编制准确</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预算执行</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支出控制</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动态调整</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执行进度</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完成结果</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预算完成</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违规记录</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绩效结果应用（20分）</w:t>
            </w:r>
          </w:p>
        </w:tc>
        <w:tc>
          <w:tcPr>
            <w:tcW w:w="166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自评质量</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自评准确</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信息公开</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目标公开</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自评公开</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整改反馈</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结果反馈</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应用反馈</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7196" w:type="dxa"/>
            <w:gridSpan w:val="4"/>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总  分</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95</w:t>
            </w:r>
          </w:p>
        </w:tc>
      </w:tr>
    </w:tbl>
    <w:p>
      <w:pPr>
        <w:spacing w:line="580" w:lineRule="exact"/>
        <w:rPr>
          <w:rFonts w:eastAsia="仿宋_GB2312"/>
          <w:sz w:val="32"/>
          <w:szCs w:val="32"/>
        </w:rPr>
      </w:pPr>
    </w:p>
    <w:p>
      <w:pPr>
        <w:spacing w:line="580" w:lineRule="exact"/>
        <w:rPr>
          <w:rFonts w:eastAsia="仿宋_GB2312"/>
          <w:b/>
          <w:sz w:val="32"/>
          <w:szCs w:val="32"/>
        </w:rPr>
      </w:pPr>
      <w:r>
        <w:rPr>
          <w:rFonts w:hAnsi="黑体" w:eastAsia="黑体"/>
          <w:b/>
          <w:sz w:val="32"/>
          <w:szCs w:val="32"/>
        </w:rPr>
        <w:t>附件</w:t>
      </w:r>
      <w:r>
        <w:rPr>
          <w:rFonts w:eastAsia="黑体"/>
          <w:b/>
          <w:sz w:val="32"/>
          <w:szCs w:val="32"/>
        </w:rPr>
        <w:t>2</w:t>
      </w:r>
    </w:p>
    <w:p>
      <w:pPr>
        <w:spacing w:line="580" w:lineRule="exact"/>
        <w:ind w:firstLine="640" w:firstLineChars="200"/>
        <w:rPr>
          <w:rFonts w:eastAsia="仿宋_GB2312"/>
          <w:sz w:val="32"/>
          <w:szCs w:val="32"/>
        </w:rPr>
      </w:pPr>
    </w:p>
    <w:p>
      <w:pPr>
        <w:spacing w:line="600" w:lineRule="exact"/>
        <w:jc w:val="center"/>
        <w:rPr>
          <w:rFonts w:eastAsia="方正小标宋简体"/>
          <w:b/>
          <w:color w:val="000000"/>
          <w:kern w:val="0"/>
          <w:sz w:val="44"/>
          <w:szCs w:val="44"/>
          <w:lang w:val="zh-CN"/>
        </w:rPr>
      </w:pPr>
      <w:r>
        <w:rPr>
          <w:rFonts w:eastAsia="方正小标宋简体"/>
          <w:b/>
          <w:color w:val="000000"/>
          <w:kern w:val="0"/>
          <w:sz w:val="44"/>
          <w:szCs w:val="44"/>
        </w:rPr>
        <w:t>巡察业务经费项目2019年</w:t>
      </w:r>
      <w:r>
        <w:rPr>
          <w:rFonts w:eastAsia="方正小标宋简体"/>
          <w:b/>
          <w:color w:val="000000"/>
          <w:kern w:val="0"/>
          <w:sz w:val="44"/>
          <w:szCs w:val="44"/>
          <w:lang w:val="zh-CN"/>
        </w:rPr>
        <w:t>绩效评价报告</w:t>
      </w:r>
    </w:p>
    <w:p>
      <w:pPr>
        <w:spacing w:line="600" w:lineRule="exact"/>
        <w:rPr>
          <w:sz w:val="32"/>
          <w:szCs w:val="32"/>
          <w:lang w:val="zh-CN"/>
        </w:rPr>
      </w:pPr>
    </w:p>
    <w:p>
      <w:pPr>
        <w:adjustRightInd w:val="0"/>
        <w:snapToGrid w:val="0"/>
        <w:spacing w:line="600" w:lineRule="exact"/>
        <w:ind w:firstLine="720"/>
        <w:rPr>
          <w:rFonts w:eastAsia="方正黑体简体"/>
          <w:b/>
          <w:sz w:val="32"/>
          <w:szCs w:val="32"/>
          <w:lang w:val="zh-CN"/>
        </w:rPr>
      </w:pPr>
      <w:r>
        <w:rPr>
          <w:rFonts w:eastAsia="方正黑体简体"/>
          <w:b/>
          <w:sz w:val="32"/>
          <w:szCs w:val="32"/>
        </w:rPr>
        <w:t>一、</w:t>
      </w:r>
      <w:r>
        <w:rPr>
          <w:rFonts w:eastAsia="方正黑体简体"/>
          <w:b/>
          <w:sz w:val="32"/>
          <w:szCs w:val="32"/>
          <w:lang w:val="zh-CN"/>
        </w:rPr>
        <w:t>项目概况</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（一）项目基本情况。</w:t>
      </w:r>
    </w:p>
    <w:p>
      <w:pPr>
        <w:adjustRightInd w:val="0"/>
        <w:snapToGrid w:val="0"/>
        <w:spacing w:line="578" w:lineRule="exact"/>
        <w:ind w:firstLine="720"/>
        <w:rPr>
          <w:rFonts w:eastAsia="方正仿宋简体"/>
          <w:b/>
          <w:sz w:val="32"/>
          <w:szCs w:val="32"/>
        </w:rPr>
      </w:pPr>
      <w:r>
        <w:rPr>
          <w:rFonts w:eastAsia="方正仿宋简体"/>
          <w:b/>
          <w:sz w:val="32"/>
          <w:szCs w:val="32"/>
          <w:lang w:val="zh-CN"/>
        </w:rPr>
        <w:t>县委巡察办督导指导</w:t>
      </w:r>
      <w:r>
        <w:rPr>
          <w:rFonts w:eastAsia="方正仿宋简体"/>
          <w:b/>
          <w:sz w:val="32"/>
          <w:szCs w:val="32"/>
        </w:rPr>
        <w:t>3个巡察组完成县委交办的当年巡察任务，巡察业务经费用于3个巡察组巡察期间产生的住宿费、生活费、值班补助等开支。</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（二）项目绩效目标。</w:t>
      </w:r>
    </w:p>
    <w:p>
      <w:pPr>
        <w:pStyle w:val="5"/>
        <w:adjustRightInd w:val="0"/>
        <w:snapToGrid w:val="0"/>
        <w:spacing w:beforeLines="0" w:line="578" w:lineRule="exact"/>
        <w:ind w:firstLine="675" w:firstLineChars="210"/>
        <w:outlineLvl w:val="2"/>
        <w:rPr>
          <w:rFonts w:ascii="Times New Roman" w:eastAsia="方正仿宋简体"/>
          <w:b/>
          <w:sz w:val="32"/>
          <w:szCs w:val="32"/>
        </w:rPr>
      </w:pPr>
      <w:r>
        <w:rPr>
          <w:rFonts w:ascii="Times New Roman" w:eastAsia="方正仿宋简体"/>
          <w:b/>
          <w:sz w:val="32"/>
          <w:szCs w:val="32"/>
          <w:lang w:val="zh-CN"/>
        </w:rPr>
        <w:t>完成</w:t>
      </w:r>
      <w:r>
        <w:rPr>
          <w:rFonts w:ascii="Times New Roman" w:eastAsia="方正仿宋简体"/>
          <w:b/>
          <w:sz w:val="32"/>
          <w:szCs w:val="32"/>
        </w:rPr>
        <w:t>2019年巡察县直部门9个、乡镇6个、县属学校5个，县属医院3个的巡察任务。</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（三）项目自评步骤及方法。</w:t>
      </w:r>
    </w:p>
    <w:p>
      <w:pPr>
        <w:pStyle w:val="5"/>
        <w:adjustRightInd w:val="0"/>
        <w:snapToGrid w:val="0"/>
        <w:spacing w:beforeLines="0" w:line="578" w:lineRule="exact"/>
        <w:ind w:firstLine="675" w:firstLineChars="210"/>
        <w:outlineLvl w:val="2"/>
        <w:rPr>
          <w:rFonts w:ascii="Times New Roman" w:eastAsia="方正仿宋简体"/>
          <w:b/>
          <w:sz w:val="32"/>
          <w:szCs w:val="32"/>
          <w:lang w:val="zh-CN"/>
        </w:rPr>
      </w:pPr>
      <w:r>
        <w:rPr>
          <w:rFonts w:ascii="Times New Roman" w:eastAsia="方正仿宋简体"/>
          <w:b/>
          <w:sz w:val="32"/>
          <w:szCs w:val="32"/>
        </w:rPr>
        <w:t>采取自评方式，成立项目自评小组，结合县委工作安排及巡察工作领导小组工作计划，开展自评工作。按照上级下达的项目支出绩效评价指标体系，针对申报内容、实施情况从数量、质量、成本、经济和社会效益指标等方面做出自我评价。</w:t>
      </w:r>
    </w:p>
    <w:p>
      <w:pPr>
        <w:adjustRightInd w:val="0"/>
        <w:snapToGrid w:val="0"/>
        <w:spacing w:line="578" w:lineRule="exact"/>
        <w:ind w:firstLine="720"/>
        <w:rPr>
          <w:rFonts w:eastAsia="方正黑体简体"/>
          <w:b/>
          <w:sz w:val="32"/>
          <w:szCs w:val="32"/>
        </w:rPr>
      </w:pPr>
      <w:r>
        <w:rPr>
          <w:rFonts w:eastAsia="方正黑体简体"/>
          <w:b/>
          <w:sz w:val="32"/>
          <w:szCs w:val="32"/>
        </w:rPr>
        <w:t>二、项目资金申报及使用情况</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（一）项目资金申报及批复情况。</w:t>
      </w:r>
    </w:p>
    <w:p>
      <w:pPr>
        <w:adjustRightInd w:val="0"/>
        <w:snapToGrid w:val="0"/>
        <w:spacing w:line="578" w:lineRule="exact"/>
        <w:ind w:firstLine="720"/>
        <w:rPr>
          <w:rFonts w:eastAsia="方正仿宋简体"/>
          <w:b/>
          <w:kern w:val="0"/>
          <w:sz w:val="32"/>
          <w:szCs w:val="32"/>
        </w:rPr>
      </w:pPr>
      <w:r>
        <w:rPr>
          <w:rFonts w:eastAsia="方正仿宋简体"/>
          <w:b/>
          <w:kern w:val="0"/>
          <w:sz w:val="32"/>
          <w:szCs w:val="32"/>
        </w:rPr>
        <w:t>巡察业务经费项目资金年初预算120万元，财政批复金额120万元。</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（二）资金计划、到位及使用情况。</w:t>
      </w:r>
    </w:p>
    <w:p>
      <w:pPr>
        <w:adjustRightInd w:val="0"/>
        <w:snapToGrid w:val="0"/>
        <w:spacing w:line="578" w:lineRule="exact"/>
        <w:ind w:firstLine="720"/>
        <w:rPr>
          <w:rFonts w:eastAsia="方正仿宋简体"/>
          <w:b/>
          <w:sz w:val="32"/>
          <w:szCs w:val="32"/>
          <w:lang w:val="zh-CN"/>
        </w:rPr>
      </w:pPr>
      <w:r>
        <w:rPr>
          <w:rFonts w:eastAsia="方正仿宋简体"/>
          <w:b/>
          <w:sz w:val="32"/>
          <w:szCs w:val="32"/>
          <w:lang w:val="zh-CN"/>
        </w:rPr>
        <w:t>1．资金计划。2019年县委巡察办巡察业务经费项目资金预算数</w:t>
      </w:r>
      <w:r>
        <w:rPr>
          <w:rFonts w:eastAsia="方正仿宋简体"/>
          <w:b/>
          <w:sz w:val="32"/>
          <w:szCs w:val="32"/>
        </w:rPr>
        <w:t>120</w:t>
      </w:r>
      <w:r>
        <w:rPr>
          <w:rFonts w:eastAsia="方正仿宋简体"/>
          <w:b/>
          <w:sz w:val="32"/>
          <w:szCs w:val="32"/>
          <w:lang w:val="zh-CN"/>
        </w:rPr>
        <w:t>万元，均为财政拨款资金。</w:t>
      </w:r>
    </w:p>
    <w:p>
      <w:pPr>
        <w:adjustRightInd w:val="0"/>
        <w:snapToGrid w:val="0"/>
        <w:spacing w:line="578" w:lineRule="exact"/>
        <w:ind w:firstLine="720"/>
        <w:rPr>
          <w:rFonts w:eastAsia="方正仿宋简体"/>
          <w:b/>
          <w:sz w:val="32"/>
          <w:szCs w:val="32"/>
          <w:lang w:val="zh-CN"/>
        </w:rPr>
      </w:pPr>
      <w:r>
        <w:rPr>
          <w:rFonts w:eastAsia="方正仿宋简体"/>
          <w:b/>
          <w:sz w:val="32"/>
          <w:szCs w:val="32"/>
          <w:lang w:val="zh-CN"/>
        </w:rPr>
        <w:t>2．资金到位。截止2019年12月31日，县委巡察办巡察业务经费项目财政划拨资金</w:t>
      </w:r>
      <w:r>
        <w:rPr>
          <w:rFonts w:eastAsia="方正仿宋简体"/>
          <w:b/>
          <w:sz w:val="32"/>
          <w:szCs w:val="32"/>
        </w:rPr>
        <w:t>120</w:t>
      </w:r>
      <w:r>
        <w:rPr>
          <w:rFonts w:eastAsia="方正仿宋简体"/>
          <w:b/>
          <w:sz w:val="32"/>
          <w:szCs w:val="32"/>
          <w:lang w:val="zh-CN"/>
        </w:rPr>
        <w:t>万元，完成资金计划的100%，为巡察工作的顺利开展提供了资金保障。</w:t>
      </w:r>
    </w:p>
    <w:p>
      <w:pPr>
        <w:adjustRightInd w:val="0"/>
        <w:snapToGrid w:val="0"/>
        <w:spacing w:line="578" w:lineRule="exact"/>
        <w:ind w:firstLine="720"/>
        <w:rPr>
          <w:rFonts w:eastAsia="方正仿宋简体"/>
          <w:b/>
          <w:sz w:val="32"/>
          <w:szCs w:val="32"/>
          <w:lang w:val="zh-CN"/>
        </w:rPr>
      </w:pPr>
      <w:r>
        <w:rPr>
          <w:rFonts w:eastAsia="方正仿宋简体"/>
          <w:b/>
          <w:sz w:val="32"/>
          <w:szCs w:val="32"/>
          <w:lang w:val="zh-CN"/>
        </w:rPr>
        <w:t>3．资金使用。截止2019年12月31日，县委巡察办巡察业务经费项目资金支出</w:t>
      </w:r>
      <w:r>
        <w:rPr>
          <w:rFonts w:eastAsia="方正仿宋简体"/>
          <w:b/>
          <w:sz w:val="32"/>
          <w:szCs w:val="32"/>
        </w:rPr>
        <w:t>120</w:t>
      </w:r>
      <w:r>
        <w:rPr>
          <w:rFonts w:eastAsia="方正仿宋简体"/>
          <w:b/>
          <w:sz w:val="32"/>
          <w:szCs w:val="32"/>
          <w:lang w:val="zh-CN"/>
        </w:rPr>
        <w:t>万元，完成资金计划100%。主要用于巡察办办公室及</w:t>
      </w:r>
      <w:r>
        <w:rPr>
          <w:rFonts w:eastAsia="方正仿宋简体"/>
          <w:b/>
          <w:sz w:val="32"/>
          <w:szCs w:val="32"/>
        </w:rPr>
        <w:t>3个巡察组巡察期间产生的生活费、住宿费、值班补助、加班补助等开支</w:t>
      </w:r>
      <w:r>
        <w:rPr>
          <w:rFonts w:eastAsia="方正仿宋简体"/>
          <w:b/>
          <w:sz w:val="32"/>
          <w:szCs w:val="32"/>
          <w:lang w:val="zh-CN"/>
        </w:rPr>
        <w:t>。</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（三）项目财务管理情况。</w:t>
      </w:r>
    </w:p>
    <w:p>
      <w:pPr>
        <w:adjustRightInd w:val="0"/>
        <w:snapToGrid w:val="0"/>
        <w:spacing w:line="578" w:lineRule="exact"/>
        <w:ind w:firstLine="720"/>
        <w:rPr>
          <w:rFonts w:eastAsia="方正仿宋简体"/>
          <w:b/>
          <w:sz w:val="32"/>
          <w:szCs w:val="32"/>
          <w:lang w:val="zh-CN"/>
        </w:rPr>
      </w:pPr>
      <w:r>
        <w:rPr>
          <w:rFonts w:eastAsia="方正仿宋简体"/>
          <w:b/>
          <w:sz w:val="32"/>
          <w:szCs w:val="32"/>
          <w:lang w:val="zh-CN"/>
        </w:rPr>
        <w:t>资金在使用过程中严格按财政预算要求执行，同时加强资金收支计划和核算管理，按期编制记账凭证和各类财务报表，维护资金安全。</w:t>
      </w:r>
    </w:p>
    <w:p>
      <w:pPr>
        <w:adjustRightInd w:val="0"/>
        <w:snapToGrid w:val="0"/>
        <w:spacing w:line="578" w:lineRule="exact"/>
        <w:ind w:firstLine="720"/>
        <w:rPr>
          <w:rFonts w:eastAsia="方正黑体简体"/>
          <w:b/>
          <w:sz w:val="32"/>
          <w:szCs w:val="32"/>
        </w:rPr>
      </w:pPr>
      <w:r>
        <w:rPr>
          <w:rFonts w:eastAsia="方正黑体简体"/>
          <w:b/>
          <w:sz w:val="32"/>
          <w:szCs w:val="32"/>
        </w:rPr>
        <w:t>三、项目实施及管理情况</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（一）项目组织架构及实施流程。</w:t>
      </w:r>
    </w:p>
    <w:p>
      <w:pPr>
        <w:adjustRightInd w:val="0"/>
        <w:snapToGrid w:val="0"/>
        <w:spacing w:line="578" w:lineRule="exact"/>
        <w:ind w:firstLine="720"/>
        <w:rPr>
          <w:rFonts w:eastAsia="方正仿宋简体"/>
          <w:b/>
          <w:sz w:val="32"/>
          <w:szCs w:val="32"/>
          <w:lang w:val="zh-CN"/>
        </w:rPr>
      </w:pPr>
      <w:r>
        <w:rPr>
          <w:rFonts w:eastAsia="方正仿宋简体"/>
          <w:b/>
          <w:color w:val="333333"/>
          <w:sz w:val="31"/>
          <w:szCs w:val="31"/>
          <w:shd w:val="clear" w:color="auto" w:fill="FFFFFF"/>
        </w:rPr>
        <w:t>单位主要负责人负总责，分管领导具体负责，业务股室负责日常工作。</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（二）项目管理情况。</w:t>
      </w:r>
    </w:p>
    <w:p>
      <w:pPr>
        <w:adjustRightInd w:val="0"/>
        <w:snapToGrid w:val="0"/>
        <w:spacing w:line="578" w:lineRule="exact"/>
        <w:ind w:left="720"/>
        <w:rPr>
          <w:rFonts w:eastAsia="方正仿宋简体"/>
          <w:b/>
          <w:color w:val="333333"/>
          <w:sz w:val="31"/>
          <w:szCs w:val="31"/>
          <w:shd w:val="clear" w:color="auto" w:fill="FFFFFF"/>
        </w:rPr>
      </w:pPr>
      <w:r>
        <w:rPr>
          <w:rFonts w:eastAsia="方正仿宋简体"/>
          <w:b/>
          <w:color w:val="333333"/>
          <w:sz w:val="31"/>
          <w:szCs w:val="31"/>
          <w:shd w:val="clear" w:color="auto" w:fill="FFFFFF"/>
        </w:rPr>
        <w:t>严格按照相关法律法规和合同内容进行项目管理。</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（三）项目监管情况。</w:t>
      </w:r>
    </w:p>
    <w:p>
      <w:pPr>
        <w:adjustRightInd w:val="0"/>
        <w:snapToGrid w:val="0"/>
        <w:spacing w:line="578" w:lineRule="exact"/>
        <w:ind w:left="720"/>
        <w:rPr>
          <w:rFonts w:eastAsia="方正仿宋简体"/>
          <w:b/>
          <w:sz w:val="32"/>
          <w:szCs w:val="32"/>
          <w:lang w:val="zh-CN"/>
        </w:rPr>
      </w:pPr>
      <w:r>
        <w:rPr>
          <w:rFonts w:eastAsia="方正仿宋简体"/>
          <w:b/>
          <w:color w:val="333333"/>
          <w:sz w:val="31"/>
          <w:szCs w:val="31"/>
          <w:shd w:val="clear" w:color="auto" w:fill="FFFFFF"/>
        </w:rPr>
        <w:t>按照纪检、财政、审计等相关规定进行定期和不定期监管。</w:t>
      </w:r>
    </w:p>
    <w:p>
      <w:pPr>
        <w:adjustRightInd w:val="0"/>
        <w:snapToGrid w:val="0"/>
        <w:spacing w:line="578" w:lineRule="exact"/>
        <w:ind w:firstLine="720"/>
        <w:rPr>
          <w:rFonts w:eastAsia="方正黑体简体"/>
          <w:b/>
          <w:sz w:val="32"/>
          <w:szCs w:val="32"/>
        </w:rPr>
      </w:pPr>
      <w:r>
        <w:rPr>
          <w:rFonts w:eastAsia="方正黑体简体"/>
          <w:b/>
          <w:sz w:val="32"/>
          <w:szCs w:val="32"/>
        </w:rPr>
        <w:t>四、项目绩效情况</w:t>
      </w:r>
      <w:r>
        <w:rPr>
          <w:rFonts w:eastAsia="方正黑体简体"/>
          <w:b/>
          <w:sz w:val="32"/>
          <w:szCs w:val="32"/>
        </w:rPr>
        <w:tab/>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（一）项目完成情况。</w:t>
      </w:r>
    </w:p>
    <w:p>
      <w:pPr>
        <w:pStyle w:val="5"/>
        <w:adjustRightInd w:val="0"/>
        <w:snapToGrid w:val="0"/>
        <w:spacing w:beforeLines="0" w:line="578" w:lineRule="exact"/>
        <w:ind w:firstLine="675" w:firstLineChars="210"/>
        <w:outlineLvl w:val="2"/>
        <w:rPr>
          <w:rFonts w:ascii="Times New Roman" w:eastAsia="方正仿宋简体"/>
          <w:b/>
          <w:sz w:val="32"/>
          <w:szCs w:val="32"/>
        </w:rPr>
      </w:pPr>
      <w:r>
        <w:rPr>
          <w:rFonts w:ascii="Times New Roman" w:eastAsia="方正仿宋简体"/>
          <w:b/>
          <w:sz w:val="32"/>
          <w:szCs w:val="32"/>
        </w:rPr>
        <w:t>2019年</w:t>
      </w:r>
      <w:r>
        <w:rPr>
          <w:rFonts w:ascii="Times New Roman" w:eastAsia="方正仿宋简体"/>
          <w:b/>
          <w:sz w:val="32"/>
          <w:szCs w:val="32"/>
          <w:lang w:val="zh-CN"/>
        </w:rPr>
        <w:t>顺利完成两轮常规巡察和一轮专项巡察（</w:t>
      </w:r>
      <w:r>
        <w:rPr>
          <w:rFonts w:ascii="Times New Roman" w:eastAsia="方正仿宋简体"/>
          <w:b/>
          <w:sz w:val="32"/>
          <w:szCs w:val="32"/>
        </w:rPr>
        <w:t>巡察县直部门9个、乡镇6个、县属学校5个，县属医院3个）的巡察任务。</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（二）项目效益情况。</w:t>
      </w:r>
    </w:p>
    <w:p>
      <w:pPr>
        <w:adjustRightInd w:val="0"/>
        <w:snapToGrid w:val="0"/>
        <w:spacing w:line="578" w:lineRule="exact"/>
        <w:ind w:firstLine="720"/>
        <w:rPr>
          <w:rFonts w:eastAsia="方正仿宋简体"/>
          <w:b/>
          <w:sz w:val="32"/>
          <w:szCs w:val="32"/>
          <w:lang w:val="zh-CN"/>
        </w:rPr>
      </w:pPr>
      <w:r>
        <w:rPr>
          <w:rFonts w:eastAsia="方正仿宋简体"/>
          <w:b/>
          <w:sz w:val="32"/>
          <w:szCs w:val="32"/>
          <w:lang w:val="zh-CN"/>
        </w:rPr>
        <w:t>发现问题、形成震慑、推动改革、促进发展。</w:t>
      </w:r>
    </w:p>
    <w:p>
      <w:pPr>
        <w:adjustRightInd w:val="0"/>
        <w:snapToGrid w:val="0"/>
        <w:spacing w:line="578" w:lineRule="exact"/>
        <w:ind w:firstLine="720"/>
        <w:rPr>
          <w:rFonts w:eastAsia="方正黑体简体"/>
          <w:b/>
          <w:sz w:val="32"/>
          <w:szCs w:val="32"/>
        </w:rPr>
      </w:pPr>
      <w:r>
        <w:rPr>
          <w:rFonts w:eastAsia="方正黑体简体"/>
          <w:b/>
          <w:sz w:val="32"/>
          <w:szCs w:val="32"/>
        </w:rPr>
        <w:t>五、评价结论及建议</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（一）评价结论。</w:t>
      </w:r>
    </w:p>
    <w:p>
      <w:pPr>
        <w:adjustRightInd w:val="0"/>
        <w:snapToGrid w:val="0"/>
        <w:spacing w:line="578" w:lineRule="exact"/>
        <w:ind w:firstLine="720"/>
        <w:rPr>
          <w:rFonts w:eastAsia="方正仿宋简体"/>
          <w:b/>
          <w:color w:val="333333"/>
          <w:sz w:val="31"/>
          <w:szCs w:val="31"/>
          <w:shd w:val="clear" w:color="auto" w:fill="FFFFFF"/>
        </w:rPr>
      </w:pPr>
      <w:r>
        <w:rPr>
          <w:rFonts w:eastAsia="方正仿宋简体"/>
          <w:b/>
          <w:color w:val="333333"/>
          <w:sz w:val="31"/>
          <w:szCs w:val="31"/>
          <w:shd w:val="clear" w:color="auto" w:fill="FFFFFF"/>
        </w:rPr>
        <w:t>项目规划科学、决策依据充分、资金到位及时、项目管理规范，实现对县域内所有单位和部门巡察全覆盖。</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（二）存在的问题。</w:t>
      </w:r>
    </w:p>
    <w:p>
      <w:pPr>
        <w:adjustRightInd w:val="0"/>
        <w:snapToGrid w:val="0"/>
        <w:spacing w:line="578" w:lineRule="exact"/>
        <w:ind w:firstLine="720"/>
        <w:rPr>
          <w:rFonts w:eastAsia="方正仿宋简体"/>
          <w:b/>
          <w:sz w:val="31"/>
          <w:szCs w:val="31"/>
          <w:shd w:val="clear" w:color="auto" w:fill="FFFFFF"/>
        </w:rPr>
      </w:pPr>
      <w:r>
        <w:rPr>
          <w:rFonts w:eastAsia="方正仿宋简体"/>
          <w:b/>
          <w:sz w:val="31"/>
          <w:szCs w:val="31"/>
          <w:shd w:val="clear" w:color="auto" w:fill="FFFFFF"/>
        </w:rPr>
        <w:t>绩效目标编制不够明确、细化和量化，预算控制有待加强，合理性有待提高。 </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（三）相关建议。</w:t>
      </w:r>
    </w:p>
    <w:p>
      <w:pPr>
        <w:spacing w:line="578" w:lineRule="exact"/>
        <w:ind w:firstLine="640"/>
        <w:rPr>
          <w:rFonts w:eastAsia="方正仿宋简体"/>
          <w:b/>
          <w:color w:val="000000"/>
          <w:sz w:val="31"/>
          <w:szCs w:val="31"/>
          <w:shd w:val="clear" w:color="auto" w:fill="FFFFFF"/>
        </w:rPr>
      </w:pPr>
      <w:r>
        <w:rPr>
          <w:rFonts w:eastAsia="方正仿宋简体"/>
          <w:b/>
          <w:color w:val="000000"/>
          <w:sz w:val="31"/>
          <w:szCs w:val="31"/>
          <w:shd w:val="clear" w:color="auto" w:fill="FFFFFF"/>
        </w:rPr>
        <w:t>1、在编制项目资金绩效目标时要求指向明确、细化量化、合理可行。</w:t>
      </w:r>
    </w:p>
    <w:p>
      <w:pPr>
        <w:spacing w:line="578" w:lineRule="exact"/>
        <w:ind w:firstLine="640"/>
        <w:rPr>
          <w:rFonts w:eastAsia="方正仿宋简体"/>
          <w:b/>
          <w:color w:val="000000"/>
          <w:sz w:val="31"/>
          <w:szCs w:val="31"/>
          <w:shd w:val="clear" w:color="auto" w:fill="FFFFFF"/>
        </w:rPr>
      </w:pPr>
      <w:r>
        <w:rPr>
          <w:rFonts w:eastAsia="方正仿宋简体"/>
          <w:b/>
          <w:color w:val="000000"/>
          <w:sz w:val="31"/>
          <w:szCs w:val="31"/>
          <w:shd w:val="clear" w:color="auto" w:fill="FFFFFF"/>
        </w:rPr>
        <w:t>2、加强财务管理，严格财务审核，加强项目开展进度的实时跟踪，开展项目绩效评价，确保项目绩效目标的完成。</w:t>
      </w:r>
    </w:p>
    <w:p>
      <w:pPr>
        <w:spacing w:line="578" w:lineRule="exact"/>
        <w:ind w:firstLine="640"/>
        <w:rPr>
          <w:rFonts w:eastAsia="方正仿宋简体"/>
          <w:b/>
          <w:sz w:val="32"/>
          <w:szCs w:val="32"/>
        </w:rPr>
      </w:pPr>
    </w:p>
    <w:p>
      <w:pPr>
        <w:spacing w:line="578" w:lineRule="exact"/>
        <w:ind w:firstLine="640"/>
        <w:rPr>
          <w:rFonts w:eastAsia="方正仿宋简体"/>
          <w:b/>
          <w:sz w:val="32"/>
          <w:szCs w:val="32"/>
        </w:rPr>
      </w:pPr>
    </w:p>
    <w:p>
      <w:pPr>
        <w:widowControl/>
        <w:spacing w:line="578" w:lineRule="exact"/>
        <w:jc w:val="left"/>
        <w:rPr>
          <w:rStyle w:val="26"/>
          <w:rFonts w:eastAsia="方正仿宋简体"/>
        </w:rPr>
      </w:pPr>
    </w:p>
    <w:p>
      <w:pPr>
        <w:widowControl/>
        <w:spacing w:line="578" w:lineRule="exact"/>
        <w:jc w:val="left"/>
        <w:rPr>
          <w:rStyle w:val="26"/>
          <w:rFonts w:eastAsia="方正仿宋简体"/>
        </w:rPr>
      </w:pPr>
      <w:r>
        <w:rPr>
          <w:rStyle w:val="26"/>
          <w:rFonts w:eastAsia="方正仿宋简体"/>
        </w:rPr>
        <w:br w:type="page"/>
      </w:r>
    </w:p>
    <w:p>
      <w:pPr>
        <w:spacing w:line="600" w:lineRule="exact"/>
        <w:jc w:val="center"/>
        <w:outlineLvl w:val="0"/>
        <w:rPr>
          <w:rStyle w:val="26"/>
          <w:rFonts w:eastAsia="方正小标宋简体"/>
          <w:sz w:val="36"/>
          <w:szCs w:val="36"/>
        </w:rPr>
      </w:pPr>
      <w:bookmarkStart w:id="18" w:name="_Toc15396618"/>
      <w:r>
        <w:rPr>
          <w:rFonts w:eastAsia="方正小标宋简体"/>
          <w:color w:val="000000"/>
          <w:sz w:val="36"/>
          <w:szCs w:val="36"/>
        </w:rPr>
        <w:t>第</w:t>
      </w:r>
      <w:r>
        <w:rPr>
          <w:rStyle w:val="26"/>
          <w:rFonts w:eastAsia="方正小标宋简体"/>
          <w:sz w:val="36"/>
          <w:szCs w:val="36"/>
        </w:rPr>
        <w:t>五部分 附表</w:t>
      </w:r>
      <w:bookmarkEnd w:id="17"/>
      <w:bookmarkEnd w:id="18"/>
    </w:p>
    <w:p>
      <w:pPr>
        <w:spacing w:line="600" w:lineRule="exact"/>
        <w:jc w:val="center"/>
        <w:outlineLvl w:val="0"/>
        <w:rPr>
          <w:rFonts w:eastAsia="仿宋"/>
          <w:b/>
          <w:color w:val="000000"/>
          <w:sz w:val="44"/>
          <w:szCs w:val="44"/>
        </w:rPr>
      </w:pPr>
    </w:p>
    <w:p>
      <w:pPr>
        <w:pStyle w:val="3"/>
        <w:spacing w:before="0" w:after="0" w:line="578" w:lineRule="exact"/>
        <w:ind w:firstLine="643" w:firstLineChars="200"/>
        <w:rPr>
          <w:rFonts w:ascii="Times New Roman" w:hAnsi="Times New Roman" w:eastAsia="方正仿宋简体" w:cs="Times New Roman"/>
          <w:color w:val="000000"/>
        </w:rPr>
      </w:pPr>
      <w:bookmarkStart w:id="19" w:name="_Toc15396619"/>
      <w:r>
        <w:rPr>
          <w:rFonts w:ascii="Times New Roman" w:hAnsi="Times New Roman" w:eastAsia="方正仿宋简体" w:cs="Times New Roman"/>
          <w:color w:val="000000"/>
        </w:rPr>
        <w:t>一、收</w:t>
      </w:r>
      <w:r>
        <w:rPr>
          <w:rStyle w:val="27"/>
          <w:rFonts w:ascii="Times New Roman" w:hAnsi="Times New Roman" w:eastAsia="方正仿宋简体" w:cs="Times New Roman"/>
          <w:b/>
          <w:bCs w:val="0"/>
        </w:rPr>
        <w:t>入支出决算总表</w:t>
      </w:r>
      <w:bookmarkEnd w:id="19"/>
    </w:p>
    <w:p>
      <w:pPr>
        <w:pStyle w:val="3"/>
        <w:spacing w:before="0" w:after="0" w:line="578" w:lineRule="exact"/>
        <w:ind w:firstLine="643" w:firstLineChars="200"/>
        <w:rPr>
          <w:rFonts w:ascii="Times New Roman" w:hAnsi="Times New Roman" w:eastAsia="方正仿宋简体" w:cs="Times New Roman"/>
          <w:color w:val="000000"/>
        </w:rPr>
      </w:pPr>
      <w:bookmarkStart w:id="20" w:name="_Toc15396620"/>
      <w:r>
        <w:rPr>
          <w:rFonts w:ascii="Times New Roman" w:hAnsi="Times New Roman" w:eastAsia="方正仿宋简体" w:cs="Times New Roman"/>
          <w:color w:val="000000"/>
        </w:rPr>
        <w:t>二、收</w:t>
      </w:r>
      <w:r>
        <w:rPr>
          <w:rStyle w:val="27"/>
          <w:rFonts w:ascii="Times New Roman" w:hAnsi="Times New Roman" w:eastAsia="方正仿宋简体" w:cs="Times New Roman"/>
          <w:b/>
          <w:bCs w:val="0"/>
        </w:rPr>
        <w:t>入决算表</w:t>
      </w:r>
      <w:bookmarkEnd w:id="20"/>
    </w:p>
    <w:p>
      <w:pPr>
        <w:pStyle w:val="3"/>
        <w:spacing w:before="0" w:after="0" w:line="578" w:lineRule="exact"/>
        <w:ind w:firstLine="643" w:firstLineChars="200"/>
        <w:rPr>
          <w:rFonts w:ascii="Times New Roman" w:hAnsi="Times New Roman" w:eastAsia="方正仿宋简体" w:cs="Times New Roman"/>
          <w:color w:val="000000"/>
        </w:rPr>
      </w:pPr>
      <w:bookmarkStart w:id="21" w:name="_Toc15396621"/>
      <w:r>
        <w:rPr>
          <w:rStyle w:val="27"/>
          <w:rFonts w:ascii="Times New Roman" w:hAnsi="Times New Roman" w:eastAsia="方正仿宋简体" w:cs="Times New Roman"/>
          <w:b/>
          <w:bCs w:val="0"/>
        </w:rPr>
        <w:t>三、</w:t>
      </w:r>
      <w:r>
        <w:rPr>
          <w:rFonts w:ascii="Times New Roman" w:hAnsi="Times New Roman" w:eastAsia="方正仿宋简体" w:cs="Times New Roman"/>
          <w:color w:val="000000"/>
        </w:rPr>
        <w:t>支</w:t>
      </w:r>
      <w:r>
        <w:rPr>
          <w:rStyle w:val="27"/>
          <w:rFonts w:ascii="Times New Roman" w:hAnsi="Times New Roman" w:eastAsia="方正仿宋简体" w:cs="Times New Roman"/>
          <w:b/>
          <w:bCs w:val="0"/>
        </w:rPr>
        <w:t>出决算表</w:t>
      </w:r>
      <w:bookmarkEnd w:id="21"/>
    </w:p>
    <w:p>
      <w:pPr>
        <w:pStyle w:val="3"/>
        <w:spacing w:before="0" w:after="0" w:line="578" w:lineRule="exact"/>
        <w:ind w:firstLine="643" w:firstLineChars="200"/>
        <w:rPr>
          <w:rFonts w:ascii="Times New Roman" w:hAnsi="Times New Roman" w:eastAsia="方正仿宋简体" w:cs="Times New Roman"/>
          <w:color w:val="000000"/>
        </w:rPr>
      </w:pPr>
      <w:bookmarkStart w:id="22" w:name="_Toc15396622"/>
      <w:r>
        <w:rPr>
          <w:rStyle w:val="27"/>
          <w:rFonts w:ascii="Times New Roman" w:hAnsi="Times New Roman" w:eastAsia="方正仿宋简体" w:cs="Times New Roman"/>
          <w:b/>
          <w:bCs w:val="0"/>
        </w:rPr>
        <w:t>四、</w:t>
      </w:r>
      <w:r>
        <w:rPr>
          <w:rFonts w:ascii="Times New Roman" w:hAnsi="Times New Roman" w:eastAsia="方正仿宋简体" w:cs="Times New Roman"/>
          <w:color w:val="000000"/>
        </w:rPr>
        <w:t>财</w:t>
      </w:r>
      <w:r>
        <w:rPr>
          <w:rStyle w:val="27"/>
          <w:rFonts w:ascii="Times New Roman" w:hAnsi="Times New Roman" w:eastAsia="方正仿宋简体" w:cs="Times New Roman"/>
          <w:b/>
          <w:bCs w:val="0"/>
        </w:rPr>
        <w:t>政拨款收入支出决算总表</w:t>
      </w:r>
      <w:bookmarkEnd w:id="22"/>
    </w:p>
    <w:p>
      <w:pPr>
        <w:pStyle w:val="3"/>
        <w:spacing w:before="0" w:after="0" w:line="578" w:lineRule="exact"/>
        <w:ind w:firstLine="643" w:firstLineChars="200"/>
        <w:rPr>
          <w:rStyle w:val="27"/>
          <w:rFonts w:ascii="Times New Roman" w:hAnsi="Times New Roman" w:eastAsia="方正仿宋简体" w:cs="Times New Roman"/>
          <w:b/>
          <w:bCs w:val="0"/>
        </w:rPr>
      </w:pPr>
      <w:bookmarkStart w:id="23" w:name="_Toc15396623"/>
      <w:r>
        <w:rPr>
          <w:rStyle w:val="27"/>
          <w:rFonts w:ascii="Times New Roman" w:hAnsi="Times New Roman" w:eastAsia="方正仿宋简体" w:cs="Times New Roman"/>
          <w:b/>
          <w:bCs w:val="0"/>
        </w:rPr>
        <w:t>五、</w:t>
      </w:r>
      <w:r>
        <w:rPr>
          <w:rFonts w:ascii="Times New Roman" w:hAnsi="Times New Roman" w:eastAsia="方正仿宋简体" w:cs="Times New Roman"/>
          <w:color w:val="000000"/>
        </w:rPr>
        <w:t>财</w:t>
      </w:r>
      <w:r>
        <w:rPr>
          <w:rStyle w:val="27"/>
          <w:rFonts w:ascii="Times New Roman" w:hAnsi="Times New Roman" w:eastAsia="方正仿宋简体" w:cs="Times New Roman"/>
          <w:b/>
          <w:bCs w:val="0"/>
        </w:rPr>
        <w:t>政拨款支出决算明细表</w:t>
      </w:r>
      <w:bookmarkEnd w:id="23"/>
      <w:bookmarkStart w:id="24" w:name="_Toc15396624"/>
    </w:p>
    <w:p>
      <w:pPr>
        <w:pStyle w:val="3"/>
        <w:spacing w:before="0" w:after="0" w:line="578" w:lineRule="exact"/>
        <w:ind w:firstLine="643" w:firstLineChars="200"/>
        <w:rPr>
          <w:rFonts w:ascii="Times New Roman" w:hAnsi="Times New Roman" w:eastAsia="方正仿宋简体" w:cs="Times New Roman"/>
          <w:color w:val="000000"/>
        </w:rPr>
      </w:pPr>
      <w:r>
        <w:rPr>
          <w:rStyle w:val="27"/>
          <w:rFonts w:ascii="Times New Roman" w:hAnsi="Times New Roman" w:eastAsia="方正仿宋简体" w:cs="Times New Roman"/>
          <w:b/>
          <w:bCs w:val="0"/>
        </w:rPr>
        <w:t>六、</w:t>
      </w:r>
      <w:r>
        <w:rPr>
          <w:rFonts w:ascii="Times New Roman" w:hAnsi="Times New Roman" w:eastAsia="方正仿宋简体" w:cs="Times New Roman"/>
          <w:color w:val="000000"/>
        </w:rPr>
        <w:t>一</w:t>
      </w:r>
      <w:r>
        <w:rPr>
          <w:rStyle w:val="27"/>
          <w:rFonts w:ascii="Times New Roman" w:hAnsi="Times New Roman" w:eastAsia="方正仿宋简体" w:cs="Times New Roman"/>
          <w:b/>
          <w:bCs w:val="0"/>
        </w:rPr>
        <w:t>般公共预算财政拨款支出决算表</w:t>
      </w:r>
      <w:bookmarkEnd w:id="24"/>
    </w:p>
    <w:p>
      <w:pPr>
        <w:pStyle w:val="3"/>
        <w:spacing w:before="0" w:after="0" w:line="578" w:lineRule="exact"/>
        <w:ind w:firstLine="643" w:firstLineChars="200"/>
        <w:rPr>
          <w:rFonts w:ascii="Times New Roman" w:hAnsi="Times New Roman" w:eastAsia="方正仿宋简体" w:cs="Times New Roman"/>
          <w:color w:val="000000"/>
        </w:rPr>
      </w:pPr>
      <w:bookmarkStart w:id="25" w:name="_Toc15396625"/>
      <w:r>
        <w:rPr>
          <w:rStyle w:val="27"/>
          <w:rFonts w:ascii="Times New Roman" w:hAnsi="Times New Roman" w:eastAsia="方正仿宋简体" w:cs="Times New Roman"/>
          <w:b/>
          <w:bCs w:val="0"/>
        </w:rPr>
        <w:t>七、</w:t>
      </w:r>
      <w:r>
        <w:rPr>
          <w:rFonts w:ascii="Times New Roman" w:hAnsi="Times New Roman" w:eastAsia="方正仿宋简体" w:cs="Times New Roman"/>
          <w:color w:val="000000"/>
        </w:rPr>
        <w:t>一</w:t>
      </w:r>
      <w:r>
        <w:rPr>
          <w:rStyle w:val="27"/>
          <w:rFonts w:ascii="Times New Roman" w:hAnsi="Times New Roman" w:eastAsia="方正仿宋简体" w:cs="Times New Roman"/>
          <w:b/>
          <w:bCs w:val="0"/>
        </w:rPr>
        <w:t>般公共预算财政拨款支出决算明细表</w:t>
      </w:r>
      <w:bookmarkEnd w:id="25"/>
    </w:p>
    <w:p>
      <w:pPr>
        <w:pStyle w:val="3"/>
        <w:spacing w:before="0" w:after="0" w:line="578" w:lineRule="exact"/>
        <w:ind w:firstLine="643" w:firstLineChars="200"/>
        <w:rPr>
          <w:rFonts w:ascii="Times New Roman" w:hAnsi="Times New Roman" w:eastAsia="方正仿宋简体" w:cs="Times New Roman"/>
          <w:color w:val="000000"/>
        </w:rPr>
      </w:pPr>
      <w:bookmarkStart w:id="26" w:name="_Toc15396626"/>
      <w:r>
        <w:rPr>
          <w:rStyle w:val="27"/>
          <w:rFonts w:ascii="Times New Roman" w:hAnsi="Times New Roman" w:eastAsia="方正仿宋简体" w:cs="Times New Roman"/>
          <w:b/>
          <w:bCs w:val="0"/>
        </w:rPr>
        <w:t>八、</w:t>
      </w:r>
      <w:r>
        <w:rPr>
          <w:rFonts w:ascii="Times New Roman" w:hAnsi="Times New Roman" w:eastAsia="方正仿宋简体" w:cs="Times New Roman"/>
          <w:color w:val="000000"/>
        </w:rPr>
        <w:t>一</w:t>
      </w:r>
      <w:r>
        <w:rPr>
          <w:rStyle w:val="27"/>
          <w:rFonts w:ascii="Times New Roman" w:hAnsi="Times New Roman" w:eastAsia="方正仿宋简体" w:cs="Times New Roman"/>
          <w:b/>
          <w:bCs w:val="0"/>
        </w:rPr>
        <w:t>般公共预算财政拨款基本支出决算表</w:t>
      </w:r>
      <w:bookmarkEnd w:id="26"/>
    </w:p>
    <w:p>
      <w:pPr>
        <w:pStyle w:val="3"/>
        <w:spacing w:before="0" w:after="0" w:line="578" w:lineRule="exact"/>
        <w:ind w:firstLine="643" w:firstLineChars="200"/>
        <w:rPr>
          <w:rFonts w:ascii="Times New Roman" w:hAnsi="Times New Roman" w:eastAsia="方正仿宋简体" w:cs="Times New Roman"/>
          <w:color w:val="000000"/>
        </w:rPr>
      </w:pPr>
      <w:bookmarkStart w:id="27" w:name="_Toc15396627"/>
      <w:r>
        <w:rPr>
          <w:rStyle w:val="27"/>
          <w:rFonts w:ascii="Times New Roman" w:hAnsi="Times New Roman" w:eastAsia="方正仿宋简体" w:cs="Times New Roman"/>
          <w:b/>
          <w:bCs w:val="0"/>
        </w:rPr>
        <w:t>九、</w:t>
      </w:r>
      <w:r>
        <w:rPr>
          <w:rFonts w:ascii="Times New Roman" w:hAnsi="Times New Roman" w:eastAsia="方正仿宋简体" w:cs="Times New Roman"/>
          <w:color w:val="000000"/>
        </w:rPr>
        <w:t>一</w:t>
      </w:r>
      <w:r>
        <w:rPr>
          <w:rStyle w:val="27"/>
          <w:rFonts w:ascii="Times New Roman" w:hAnsi="Times New Roman" w:eastAsia="方正仿宋简体" w:cs="Times New Roman"/>
          <w:b/>
          <w:bCs w:val="0"/>
        </w:rPr>
        <w:t>般公共预算财政拨款项目支出决算表</w:t>
      </w:r>
      <w:bookmarkEnd w:id="27"/>
    </w:p>
    <w:p>
      <w:pPr>
        <w:pStyle w:val="3"/>
        <w:spacing w:before="0" w:after="0" w:line="578" w:lineRule="exact"/>
        <w:ind w:firstLine="643" w:firstLineChars="200"/>
        <w:rPr>
          <w:rFonts w:ascii="Times New Roman" w:hAnsi="Times New Roman" w:eastAsia="方正仿宋简体" w:cs="Times New Roman"/>
          <w:color w:val="000000"/>
        </w:rPr>
      </w:pPr>
      <w:bookmarkStart w:id="28" w:name="_Toc15396628"/>
      <w:r>
        <w:rPr>
          <w:rStyle w:val="27"/>
          <w:rFonts w:ascii="Times New Roman" w:hAnsi="Times New Roman" w:eastAsia="方正仿宋简体" w:cs="Times New Roman"/>
          <w:b/>
          <w:bCs w:val="0"/>
        </w:rPr>
        <w:t>十、</w:t>
      </w:r>
      <w:r>
        <w:rPr>
          <w:rFonts w:ascii="Times New Roman" w:hAnsi="Times New Roman" w:eastAsia="方正仿宋简体" w:cs="Times New Roman"/>
          <w:color w:val="000000"/>
        </w:rPr>
        <w:t>一</w:t>
      </w:r>
      <w:r>
        <w:rPr>
          <w:rStyle w:val="27"/>
          <w:rFonts w:ascii="Times New Roman" w:hAnsi="Times New Roman" w:eastAsia="方正仿宋简体" w:cs="Times New Roman"/>
          <w:b/>
          <w:bCs w:val="0"/>
        </w:rPr>
        <w:t>般公共预算财政拨款“三公”经费支出决算表</w:t>
      </w:r>
      <w:bookmarkEnd w:id="28"/>
    </w:p>
    <w:p>
      <w:pPr>
        <w:pStyle w:val="3"/>
        <w:spacing w:before="0" w:after="0" w:line="578" w:lineRule="exact"/>
        <w:ind w:firstLine="643" w:firstLineChars="200"/>
        <w:rPr>
          <w:rFonts w:ascii="Times New Roman" w:hAnsi="Times New Roman" w:eastAsia="方正仿宋简体" w:cs="Times New Roman"/>
          <w:color w:val="000000"/>
        </w:rPr>
      </w:pPr>
      <w:bookmarkStart w:id="29" w:name="_Toc15396629"/>
      <w:r>
        <w:rPr>
          <w:rStyle w:val="27"/>
          <w:rFonts w:ascii="Times New Roman" w:hAnsi="Times New Roman" w:eastAsia="方正仿宋简体" w:cs="Times New Roman"/>
          <w:b/>
          <w:bCs w:val="0"/>
        </w:rPr>
        <w:t>十一、</w:t>
      </w:r>
      <w:r>
        <w:rPr>
          <w:rFonts w:ascii="Times New Roman" w:hAnsi="Times New Roman" w:eastAsia="方正仿宋简体" w:cs="Times New Roman"/>
          <w:color w:val="000000"/>
        </w:rPr>
        <w:t>政</w:t>
      </w:r>
      <w:r>
        <w:rPr>
          <w:rStyle w:val="27"/>
          <w:rFonts w:ascii="Times New Roman" w:hAnsi="Times New Roman" w:eastAsia="方正仿宋简体" w:cs="Times New Roman"/>
          <w:b/>
          <w:bCs w:val="0"/>
        </w:rPr>
        <w:t>府性基金预算财政拨款收入支出决算表</w:t>
      </w:r>
      <w:bookmarkEnd w:id="29"/>
    </w:p>
    <w:p>
      <w:pPr>
        <w:pStyle w:val="3"/>
        <w:spacing w:before="0" w:after="0" w:line="578" w:lineRule="exact"/>
        <w:ind w:firstLine="643" w:firstLineChars="200"/>
        <w:rPr>
          <w:rFonts w:ascii="Times New Roman" w:hAnsi="Times New Roman" w:eastAsia="方正仿宋简体" w:cs="Times New Roman"/>
          <w:color w:val="000000"/>
        </w:rPr>
      </w:pPr>
      <w:bookmarkStart w:id="30" w:name="_Toc15396630"/>
      <w:r>
        <w:rPr>
          <w:rStyle w:val="27"/>
          <w:rFonts w:ascii="Times New Roman" w:hAnsi="Times New Roman" w:eastAsia="方正仿宋简体" w:cs="Times New Roman"/>
          <w:b/>
          <w:bCs w:val="0"/>
        </w:rPr>
        <w:t>十二、</w:t>
      </w:r>
      <w:r>
        <w:rPr>
          <w:rFonts w:ascii="Times New Roman" w:hAnsi="Times New Roman" w:eastAsia="方正仿宋简体" w:cs="Times New Roman"/>
          <w:color w:val="000000"/>
        </w:rPr>
        <w:t>政</w:t>
      </w:r>
      <w:r>
        <w:rPr>
          <w:rStyle w:val="27"/>
          <w:rFonts w:ascii="Times New Roman" w:hAnsi="Times New Roman" w:eastAsia="方正仿宋简体" w:cs="Times New Roman"/>
          <w:b/>
          <w:bCs w:val="0"/>
        </w:rPr>
        <w:t>府性基金预算财政拨款“三公”经费支出决算表</w:t>
      </w:r>
      <w:bookmarkEnd w:id="30"/>
    </w:p>
    <w:p>
      <w:pPr>
        <w:pStyle w:val="3"/>
        <w:spacing w:before="0" w:after="0" w:line="578" w:lineRule="exact"/>
        <w:ind w:firstLine="643" w:firstLineChars="200"/>
        <w:rPr>
          <w:rFonts w:ascii="Times New Roman" w:hAnsi="Times New Roman" w:eastAsia="方正仿宋简体" w:cs="Times New Roman"/>
          <w:color w:val="000000" w:themeColor="text1"/>
        </w:rPr>
      </w:pPr>
      <w:bookmarkStart w:id="31" w:name="_Toc15396631"/>
      <w:r>
        <w:rPr>
          <w:rStyle w:val="27"/>
          <w:rFonts w:ascii="Times New Roman" w:hAnsi="Times New Roman" w:eastAsia="方正仿宋简体" w:cs="Times New Roman"/>
          <w:b/>
          <w:bCs w:val="0"/>
        </w:rPr>
        <w:t>十三、</w:t>
      </w:r>
      <w:r>
        <w:rPr>
          <w:rFonts w:ascii="Times New Roman" w:hAnsi="Times New Roman" w:eastAsia="方正仿宋简体" w:cs="Times New Roman"/>
          <w:color w:val="000000"/>
        </w:rPr>
        <w:t>国</w:t>
      </w:r>
      <w:r>
        <w:rPr>
          <w:rStyle w:val="27"/>
          <w:rFonts w:ascii="Times New Roman" w:hAnsi="Times New Roman" w:eastAsia="方正仿宋简体" w:cs="Times New Roman"/>
          <w:b/>
          <w:bCs w:val="0"/>
        </w:rPr>
        <w:t>有资本经营预算支出决算表</w:t>
      </w:r>
      <w:bookmarkEnd w:id="31"/>
    </w:p>
    <w:sectPr>
      <w:footerReference r:id="rId7" w:type="first"/>
      <w:pgSz w:w="11906" w:h="16838"/>
      <w:pgMar w:top="2098" w:right="1474" w:bottom="1985" w:left="1588" w:header="851" w:footer="1418"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5F55E54-CAB1-4325-8E2F-88093F637F45}"/>
  </w:font>
  <w:font w:name="Arial">
    <w:panose1 w:val="020B0604020202020204"/>
    <w:charset w:val="01"/>
    <w:family w:val="swiss"/>
    <w:pitch w:val="default"/>
    <w:sig w:usb0="E0002AFF" w:usb1="C0007843" w:usb2="00000009" w:usb3="00000000" w:csb0="400001FF" w:csb1="FFFF0000"/>
    <w:embedRegular r:id="rId2" w:fontKey="{DB562C80-D5E8-4D0B-8A49-4C999986C336}"/>
  </w:font>
  <w:font w:name="黑体">
    <w:panose1 w:val="02010609060101010101"/>
    <w:charset w:val="86"/>
    <w:family w:val="auto"/>
    <w:pitch w:val="default"/>
    <w:sig w:usb0="800002BF" w:usb1="38CF7CFA" w:usb2="00000016" w:usb3="00000000" w:csb0="00040001" w:csb1="00000000"/>
    <w:embedRegular r:id="rId3" w:fontKey="{9E96BD5E-A465-403F-AE71-DBDCD43CC331}"/>
  </w:font>
  <w:font w:name="Courier New">
    <w:panose1 w:val="02070309020205020404"/>
    <w:charset w:val="01"/>
    <w:family w:val="modern"/>
    <w:pitch w:val="default"/>
    <w:sig w:usb0="E0002AFF" w:usb1="C0007843" w:usb2="00000009" w:usb3="00000000" w:csb0="400001FF" w:csb1="FFFF0000"/>
    <w:embedRegular r:id="rId4" w:fontKey="{B4A35909-40B2-45C2-B596-7C218D83D123}"/>
  </w:font>
  <w:font w:name="Symbol">
    <w:panose1 w:val="05050102010706020507"/>
    <w:charset w:val="02"/>
    <w:family w:val="roman"/>
    <w:pitch w:val="default"/>
    <w:sig w:usb0="00000000" w:usb1="00000000" w:usb2="00000000" w:usb3="00000000" w:csb0="80000000" w:csb1="00000000"/>
    <w:embedRegular r:id="rId5" w:fontKey="{09E86ADB-0998-4505-A397-24F1C8EB450A}"/>
  </w:font>
  <w:font w:name="Calibri">
    <w:panose1 w:val="020F0502020204030204"/>
    <w:charset w:val="00"/>
    <w:family w:val="swiss"/>
    <w:pitch w:val="default"/>
    <w:sig w:usb0="E10002FF" w:usb1="4000ACFF" w:usb2="00000009" w:usb3="00000000" w:csb0="2000019F" w:csb1="00000000"/>
    <w:embedRegular r:id="rId6" w:fontKey="{1286A07C-B4F5-4222-B0A8-754A3D240817}"/>
  </w:font>
  <w:font w:name="Cambria">
    <w:panose1 w:val="02040503050406030204"/>
    <w:charset w:val="00"/>
    <w:family w:val="roman"/>
    <w:pitch w:val="default"/>
    <w:sig w:usb0="E00002FF" w:usb1="400004FF" w:usb2="00000000" w:usb3="00000000" w:csb0="2000019F" w:csb1="00000000"/>
    <w:embedRegular r:id="rId7" w:fontKey="{1CB3D557-282D-4446-B140-81D4C2433C67}"/>
  </w:font>
  <w:font w:name="仿宋_GB2312">
    <w:altName w:val="仿宋"/>
    <w:panose1 w:val="02010609030101010101"/>
    <w:charset w:val="86"/>
    <w:family w:val="modern"/>
    <w:pitch w:val="default"/>
    <w:sig w:usb0="00000000" w:usb1="00000000" w:usb2="00000010" w:usb3="00000000" w:csb0="00040000" w:csb1="00000000"/>
    <w:embedRegular r:id="rId8" w:fontKey="{EB89CF48-9692-40D2-8073-F543587BDBE1}"/>
  </w:font>
  <w:font w:name="仿宋">
    <w:panose1 w:val="02010609060101010101"/>
    <w:charset w:val="86"/>
    <w:family w:val="auto"/>
    <w:pitch w:val="default"/>
    <w:sig w:usb0="800002BF" w:usb1="38CF7CFA" w:usb2="00000016" w:usb3="00000000" w:csb0="00040001" w:csb1="00000000"/>
    <w:embedRegular r:id="rId9" w:fontKey="{68F5F8B5-7146-4061-A0BD-A92E2098B986}"/>
  </w:font>
  <w:font w:name="方正小标宋简体">
    <w:panose1 w:val="02010601030101010101"/>
    <w:charset w:val="86"/>
    <w:family w:val="script"/>
    <w:pitch w:val="default"/>
    <w:sig w:usb0="00000001" w:usb1="080E0000" w:usb2="00000000" w:usb3="00000000" w:csb0="00040000" w:csb1="00000000"/>
    <w:embedRegular r:id="rId10" w:fontKey="{7FCA2D48-A6CA-4B5E-A86E-A6F515EAFD43}"/>
  </w:font>
  <w:font w:name="方正仿宋简体">
    <w:panose1 w:val="03000509000000000000"/>
    <w:charset w:val="86"/>
    <w:family w:val="auto"/>
    <w:pitch w:val="default"/>
    <w:sig w:usb0="00000001" w:usb1="080E0000" w:usb2="00000000" w:usb3="00000000" w:csb0="00040000" w:csb1="00000000"/>
    <w:embedRegular r:id="rId11" w:fontKey="{391140E2-FE51-4128-AB9D-A89B5EE93C40}"/>
  </w:font>
  <w:font w:name="方正黑体简体">
    <w:panose1 w:val="03000509000000000000"/>
    <w:charset w:val="86"/>
    <w:family w:val="script"/>
    <w:pitch w:val="default"/>
    <w:sig w:usb0="00000001" w:usb1="080E0000" w:usb2="00000000" w:usb3="00000000" w:csb0="00040000" w:csb1="00000000"/>
    <w:embedRegular r:id="rId12" w:fontKey="{C8C2538E-BE8A-47EB-A706-FF355BC3B3E7}"/>
  </w:font>
  <w:font w:name="方正楷体简体">
    <w:panose1 w:val="03000509000000000000"/>
    <w:charset w:val="86"/>
    <w:family w:val="script"/>
    <w:pitch w:val="default"/>
    <w:sig w:usb0="00000001" w:usb1="080E0000" w:usb2="00000000" w:usb3="00000000" w:csb0="00040000" w:csb1="00000000"/>
    <w:embedRegular r:id="rId13" w:fontKey="{6A4B623C-BAD4-4C53-A452-73B10EE683D4}"/>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72"/>
      <w:jc w:val="right"/>
      <w:rPr>
        <w:rFonts w:asciiTheme="minorEastAsia" w:hAnsiTheme="minorEastAsia"/>
        <w:sz w:val="28"/>
        <w:szCs w:val="28"/>
      </w:rPr>
    </w:pPr>
    <w:r>
      <w:rPr>
        <w:rStyle w:val="16"/>
        <w:rFonts w:hint="eastAsia" w:asciiTheme="minorEastAsia" w:hAnsiTheme="minorEastAsia"/>
        <w:sz w:val="28"/>
        <w:szCs w:val="28"/>
      </w:rPr>
      <w:t xml:space="preserve">— </w:t>
    </w:r>
    <w:r>
      <w:rPr>
        <w:rFonts w:asciiTheme="minorEastAsia" w:hAnsiTheme="minorEastAsia"/>
        <w:sz w:val="28"/>
        <w:szCs w:val="28"/>
      </w:rPr>
      <w:fldChar w:fldCharType="begin"/>
    </w:r>
    <w:r>
      <w:rPr>
        <w:rStyle w:val="16"/>
        <w:rFonts w:asciiTheme="minorEastAsia" w:hAnsiTheme="minorEastAsia"/>
        <w:sz w:val="28"/>
        <w:szCs w:val="28"/>
      </w:rPr>
      <w:instrText xml:space="preserve">PAGE  </w:instrText>
    </w:r>
    <w:r>
      <w:rPr>
        <w:rFonts w:asciiTheme="minorEastAsia" w:hAnsiTheme="minorEastAsia"/>
        <w:sz w:val="28"/>
        <w:szCs w:val="28"/>
      </w:rPr>
      <w:fldChar w:fldCharType="separate"/>
    </w:r>
    <w:r>
      <w:rPr>
        <w:rStyle w:val="16"/>
        <w:rFonts w:asciiTheme="minorEastAsia" w:hAnsiTheme="minorEastAsia"/>
        <w:sz w:val="28"/>
        <w:szCs w:val="28"/>
      </w:rPr>
      <w:t>7</w:t>
    </w:r>
    <w:r>
      <w:rPr>
        <w:rFonts w:asciiTheme="minorEastAsia" w:hAnsiTheme="minorEastAsia"/>
        <w:sz w:val="28"/>
        <w:szCs w:val="28"/>
      </w:rPr>
      <w:fldChar w:fldCharType="end"/>
    </w:r>
    <w:r>
      <w:rPr>
        <w:rStyle w:val="16"/>
        <w:rFonts w:hint="eastAsia" w:asciiTheme="minorEastAsia" w:hAnsiTheme="minorEastAsia"/>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72"/>
      <w:rPr>
        <w:rFonts w:asciiTheme="minorEastAsia" w:hAnsiTheme="minorEastAsia"/>
        <w:sz w:val="28"/>
        <w:szCs w:val="28"/>
      </w:rPr>
    </w:pPr>
    <w:r>
      <w:rPr>
        <w:rStyle w:val="16"/>
        <w:rFonts w:hint="eastAsia" w:asciiTheme="minorEastAsia" w:hAnsiTheme="minorEastAsia"/>
        <w:sz w:val="28"/>
        <w:szCs w:val="28"/>
      </w:rPr>
      <w:t xml:space="preserve">— </w:t>
    </w:r>
    <w:r>
      <w:rPr>
        <w:rFonts w:asciiTheme="minorEastAsia" w:hAnsiTheme="minorEastAsia"/>
        <w:sz w:val="28"/>
        <w:szCs w:val="28"/>
      </w:rPr>
      <w:fldChar w:fldCharType="begin"/>
    </w:r>
    <w:r>
      <w:rPr>
        <w:rStyle w:val="16"/>
        <w:rFonts w:asciiTheme="minorEastAsia" w:hAnsiTheme="minorEastAsia"/>
        <w:sz w:val="28"/>
        <w:szCs w:val="28"/>
      </w:rPr>
      <w:instrText xml:space="preserve">PAGE  </w:instrText>
    </w:r>
    <w:r>
      <w:rPr>
        <w:rFonts w:asciiTheme="minorEastAsia" w:hAnsiTheme="minorEastAsia"/>
        <w:sz w:val="28"/>
        <w:szCs w:val="28"/>
      </w:rPr>
      <w:fldChar w:fldCharType="separate"/>
    </w:r>
    <w:r>
      <w:rPr>
        <w:rStyle w:val="16"/>
        <w:rFonts w:asciiTheme="minorEastAsia" w:hAnsiTheme="minorEastAsia"/>
        <w:sz w:val="28"/>
        <w:szCs w:val="28"/>
      </w:rPr>
      <w:t>8</w:t>
    </w:r>
    <w:r>
      <w:rPr>
        <w:rFonts w:asciiTheme="minorEastAsia" w:hAnsiTheme="minorEastAsia"/>
        <w:sz w:val="28"/>
        <w:szCs w:val="28"/>
      </w:rPr>
      <w:fldChar w:fldCharType="end"/>
    </w:r>
    <w:r>
      <w:rPr>
        <w:rStyle w:val="16"/>
        <w:rFonts w:hint="eastAsia" w:asciiTheme="minorEastAsia" w:hAnsiTheme="minorEastAsia"/>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72"/>
      <w:jc w:val="right"/>
      <w:rPr>
        <w:rFonts w:asciiTheme="minorEastAsia" w:hAnsiTheme="minorEastAsia"/>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72"/>
      <w:jc w:val="right"/>
      <w:rPr>
        <w:rFonts w:asciiTheme="minorEastAsia" w:hAnsiTheme="minorEastAsia"/>
        <w:sz w:val="28"/>
        <w:szCs w:val="28"/>
      </w:rPr>
    </w:pPr>
    <w:r>
      <w:rPr>
        <w:rStyle w:val="16"/>
        <w:rFonts w:hint="eastAsia" w:asciiTheme="minorEastAsia" w:hAnsiTheme="minorEastAsia"/>
        <w:sz w:val="28"/>
        <w:szCs w:val="28"/>
      </w:rPr>
      <w:t xml:space="preserve">— </w:t>
    </w:r>
    <w:r>
      <w:rPr>
        <w:rFonts w:asciiTheme="minorEastAsia" w:hAnsiTheme="minorEastAsia"/>
        <w:sz w:val="28"/>
        <w:szCs w:val="28"/>
      </w:rPr>
      <w:fldChar w:fldCharType="begin"/>
    </w:r>
    <w:r>
      <w:rPr>
        <w:rStyle w:val="16"/>
        <w:rFonts w:asciiTheme="minorEastAsia" w:hAnsiTheme="minorEastAsia"/>
        <w:sz w:val="28"/>
        <w:szCs w:val="28"/>
      </w:rPr>
      <w:instrText xml:space="preserve">PAGE  </w:instrText>
    </w:r>
    <w:r>
      <w:rPr>
        <w:rFonts w:asciiTheme="minorEastAsia" w:hAnsiTheme="minorEastAsia"/>
        <w:sz w:val="28"/>
        <w:szCs w:val="28"/>
      </w:rPr>
      <w:fldChar w:fldCharType="separate"/>
    </w:r>
    <w:r>
      <w:rPr>
        <w:rStyle w:val="16"/>
        <w:rFonts w:asciiTheme="minorEastAsia" w:hAnsiTheme="minorEastAsia"/>
        <w:sz w:val="28"/>
        <w:szCs w:val="28"/>
      </w:rPr>
      <w:t>1</w:t>
    </w:r>
    <w:r>
      <w:rPr>
        <w:rFonts w:asciiTheme="minorEastAsia" w:hAnsiTheme="minorEastAsia"/>
        <w:sz w:val="28"/>
        <w:szCs w:val="28"/>
      </w:rPr>
      <w:fldChar w:fldCharType="end"/>
    </w:r>
    <w:r>
      <w:rPr>
        <w:rStyle w:val="16"/>
        <w:rFonts w:hint="eastAsia" w:asciiTheme="minorEastAsia" w:hAnsiTheme="minorEastAsia"/>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3FAB01A8"/>
    <w:multiLevelType w:val="singleLevel"/>
    <w:tmpl w:val="3FAB01A8"/>
    <w:lvl w:ilvl="0" w:tentative="0">
      <w:start w:val="2"/>
      <w:numFmt w:val="chineseCounting"/>
      <w:suff w:val="nothing"/>
      <w:lvlText w:val="（%1）"/>
      <w:lvlJc w:val="left"/>
      <w:rPr>
        <w:rFonts w:hint="eastAsia"/>
      </w:rPr>
    </w:lvl>
  </w:abstractNum>
  <w:abstractNum w:abstractNumId="3">
    <w:nsid w:val="531A5859"/>
    <w:multiLevelType w:val="multilevel"/>
    <w:tmpl w:val="531A5859"/>
    <w:lvl w:ilvl="0" w:tentative="0">
      <w:start w:val="1"/>
      <w:numFmt w:val="japaneseCounting"/>
      <w:lvlText w:val="第%1部"/>
      <w:lvlJc w:val="left"/>
      <w:pPr>
        <w:ind w:left="1500" w:hanging="1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542D8D2"/>
    <w:multiLevelType w:val="singleLevel"/>
    <w:tmpl w:val="6542D8D2"/>
    <w:lvl w:ilvl="0" w:tentative="0">
      <w:start w:val="2"/>
      <w:numFmt w:val="chineseCounting"/>
      <w:suff w:val="nothing"/>
      <w:lvlText w:val="%1、"/>
      <w:lvlJc w:val="left"/>
      <w:rPr>
        <w:rFonts w:hint="eastAsia"/>
      </w:rPr>
    </w:lvl>
  </w:abstractNum>
  <w:abstractNum w:abstractNumId="5">
    <w:nsid w:val="71593DE9"/>
    <w:multiLevelType w:val="multilevel"/>
    <w:tmpl w:val="71593DE9"/>
    <w:lvl w:ilvl="0" w:tentative="0">
      <w:start w:val="1"/>
      <w:numFmt w:val="japaneseCounting"/>
      <w:lvlText w:val="%1、"/>
      <w:lvlJc w:val="left"/>
      <w:pPr>
        <w:ind w:left="1395" w:hanging="720"/>
      </w:pPr>
      <w:rPr>
        <w:rFonts w:hint="default"/>
      </w:rPr>
    </w:lvl>
    <w:lvl w:ilvl="1" w:tentative="0">
      <w:start w:val="1"/>
      <w:numFmt w:val="lowerLetter"/>
      <w:lvlText w:val="%2)"/>
      <w:lvlJc w:val="left"/>
      <w:pPr>
        <w:ind w:left="1515" w:hanging="420"/>
      </w:pPr>
    </w:lvl>
    <w:lvl w:ilvl="2" w:tentative="0">
      <w:start w:val="1"/>
      <w:numFmt w:val="lowerRoman"/>
      <w:lvlText w:val="%3."/>
      <w:lvlJc w:val="right"/>
      <w:pPr>
        <w:ind w:left="1935" w:hanging="420"/>
      </w:pPr>
    </w:lvl>
    <w:lvl w:ilvl="3" w:tentative="0">
      <w:start w:val="1"/>
      <w:numFmt w:val="decimal"/>
      <w:lvlText w:val="%4."/>
      <w:lvlJc w:val="left"/>
      <w:pPr>
        <w:ind w:left="2355" w:hanging="420"/>
      </w:pPr>
    </w:lvl>
    <w:lvl w:ilvl="4" w:tentative="0">
      <w:start w:val="1"/>
      <w:numFmt w:val="lowerLetter"/>
      <w:lvlText w:val="%5)"/>
      <w:lvlJc w:val="left"/>
      <w:pPr>
        <w:ind w:left="2775" w:hanging="420"/>
      </w:pPr>
    </w:lvl>
    <w:lvl w:ilvl="5" w:tentative="0">
      <w:start w:val="1"/>
      <w:numFmt w:val="lowerRoman"/>
      <w:lvlText w:val="%6."/>
      <w:lvlJc w:val="right"/>
      <w:pPr>
        <w:ind w:left="3195" w:hanging="420"/>
      </w:pPr>
    </w:lvl>
    <w:lvl w:ilvl="6" w:tentative="0">
      <w:start w:val="1"/>
      <w:numFmt w:val="decimal"/>
      <w:lvlText w:val="%7."/>
      <w:lvlJc w:val="left"/>
      <w:pPr>
        <w:ind w:left="3615" w:hanging="420"/>
      </w:pPr>
    </w:lvl>
    <w:lvl w:ilvl="7" w:tentative="0">
      <w:start w:val="1"/>
      <w:numFmt w:val="lowerLetter"/>
      <w:lvlText w:val="%8)"/>
      <w:lvlJc w:val="left"/>
      <w:pPr>
        <w:ind w:left="4035" w:hanging="420"/>
      </w:pPr>
    </w:lvl>
    <w:lvl w:ilvl="8" w:tentative="0">
      <w:start w:val="1"/>
      <w:numFmt w:val="lowerRoman"/>
      <w:lvlText w:val="%9."/>
      <w:lvlJc w:val="right"/>
      <w:pPr>
        <w:ind w:left="4455" w:hanging="420"/>
      </w:p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TrueTypeFonts/>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19B0"/>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16CD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4F403E"/>
    <w:rsid w:val="00505A47"/>
    <w:rsid w:val="00512FDA"/>
    <w:rsid w:val="00520DA0"/>
    <w:rsid w:val="005664BB"/>
    <w:rsid w:val="00566FFA"/>
    <w:rsid w:val="00572387"/>
    <w:rsid w:val="0057481D"/>
    <w:rsid w:val="00575F0B"/>
    <w:rsid w:val="0058486E"/>
    <w:rsid w:val="00585B33"/>
    <w:rsid w:val="0059014D"/>
    <w:rsid w:val="005B5C64"/>
    <w:rsid w:val="005C6BD0"/>
    <w:rsid w:val="005C6C4C"/>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27533"/>
    <w:rsid w:val="007416B6"/>
    <w:rsid w:val="00746F48"/>
    <w:rsid w:val="0075404D"/>
    <w:rsid w:val="0076182A"/>
    <w:rsid w:val="00762E4C"/>
    <w:rsid w:val="00767B7E"/>
    <w:rsid w:val="007770C3"/>
    <w:rsid w:val="00784D24"/>
    <w:rsid w:val="00785FBA"/>
    <w:rsid w:val="00786E4A"/>
    <w:rsid w:val="007875EB"/>
    <w:rsid w:val="0079426B"/>
    <w:rsid w:val="007B5C07"/>
    <w:rsid w:val="007D1682"/>
    <w:rsid w:val="007D312A"/>
    <w:rsid w:val="007D3F19"/>
    <w:rsid w:val="007E23B0"/>
    <w:rsid w:val="007F1991"/>
    <w:rsid w:val="007F2C2F"/>
    <w:rsid w:val="007F55FC"/>
    <w:rsid w:val="007F5665"/>
    <w:rsid w:val="00800112"/>
    <w:rsid w:val="00813348"/>
    <w:rsid w:val="008253BB"/>
    <w:rsid w:val="00833962"/>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0F2"/>
    <w:rsid w:val="00951248"/>
    <w:rsid w:val="0095152F"/>
    <w:rsid w:val="00954C49"/>
    <w:rsid w:val="00955E37"/>
    <w:rsid w:val="0097099F"/>
    <w:rsid w:val="00971997"/>
    <w:rsid w:val="00971FFC"/>
    <w:rsid w:val="0098660A"/>
    <w:rsid w:val="009931C3"/>
    <w:rsid w:val="009B2C43"/>
    <w:rsid w:val="009B4EAE"/>
    <w:rsid w:val="009B7573"/>
    <w:rsid w:val="009C22F4"/>
    <w:rsid w:val="009C2E98"/>
    <w:rsid w:val="009C37FB"/>
    <w:rsid w:val="009D3447"/>
    <w:rsid w:val="009D4711"/>
    <w:rsid w:val="009F1185"/>
    <w:rsid w:val="009F18CD"/>
    <w:rsid w:val="009F2A13"/>
    <w:rsid w:val="009F7527"/>
    <w:rsid w:val="00A039ED"/>
    <w:rsid w:val="00A04EB0"/>
    <w:rsid w:val="00A13CC1"/>
    <w:rsid w:val="00A16847"/>
    <w:rsid w:val="00A237D8"/>
    <w:rsid w:val="00A268C4"/>
    <w:rsid w:val="00A307CD"/>
    <w:rsid w:val="00A331C8"/>
    <w:rsid w:val="00A35117"/>
    <w:rsid w:val="00A40A00"/>
    <w:rsid w:val="00A4142F"/>
    <w:rsid w:val="00A422EB"/>
    <w:rsid w:val="00A45BB7"/>
    <w:rsid w:val="00A529BE"/>
    <w:rsid w:val="00A56DF2"/>
    <w:rsid w:val="00A56E6E"/>
    <w:rsid w:val="00A67AB5"/>
    <w:rsid w:val="00A733B2"/>
    <w:rsid w:val="00A741C2"/>
    <w:rsid w:val="00A91760"/>
    <w:rsid w:val="00A93B00"/>
    <w:rsid w:val="00A93C21"/>
    <w:rsid w:val="00AB64C9"/>
    <w:rsid w:val="00AC3C6A"/>
    <w:rsid w:val="00AD0F83"/>
    <w:rsid w:val="00AD5620"/>
    <w:rsid w:val="00AD656B"/>
    <w:rsid w:val="00AD7C1B"/>
    <w:rsid w:val="00AE16BA"/>
    <w:rsid w:val="00AE1EBE"/>
    <w:rsid w:val="00B03C9D"/>
    <w:rsid w:val="00B060AE"/>
    <w:rsid w:val="00B10517"/>
    <w:rsid w:val="00B12890"/>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B568C"/>
    <w:rsid w:val="00BC289F"/>
    <w:rsid w:val="00BC2D50"/>
    <w:rsid w:val="00BC5361"/>
    <w:rsid w:val="00BC5460"/>
    <w:rsid w:val="00BC6B50"/>
    <w:rsid w:val="00BD0E25"/>
    <w:rsid w:val="00BF5BD6"/>
    <w:rsid w:val="00C03E31"/>
    <w:rsid w:val="00C30E69"/>
    <w:rsid w:val="00C33E72"/>
    <w:rsid w:val="00C354B2"/>
    <w:rsid w:val="00C35554"/>
    <w:rsid w:val="00C42709"/>
    <w:rsid w:val="00C533CC"/>
    <w:rsid w:val="00C5751C"/>
    <w:rsid w:val="00C61BFC"/>
    <w:rsid w:val="00C62B85"/>
    <w:rsid w:val="00C65438"/>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37938"/>
    <w:rsid w:val="00D51276"/>
    <w:rsid w:val="00D7035F"/>
    <w:rsid w:val="00DA634F"/>
    <w:rsid w:val="00DA65AC"/>
    <w:rsid w:val="00DB1913"/>
    <w:rsid w:val="00DC410D"/>
    <w:rsid w:val="00DC5A81"/>
    <w:rsid w:val="00DC68CA"/>
    <w:rsid w:val="00DC7CBA"/>
    <w:rsid w:val="00DD73B7"/>
    <w:rsid w:val="00DF28BC"/>
    <w:rsid w:val="00DF34B9"/>
    <w:rsid w:val="00DF56F4"/>
    <w:rsid w:val="00E01053"/>
    <w:rsid w:val="00E07ACF"/>
    <w:rsid w:val="00E331A1"/>
    <w:rsid w:val="00E33202"/>
    <w:rsid w:val="00E336A9"/>
    <w:rsid w:val="00E472B1"/>
    <w:rsid w:val="00E50624"/>
    <w:rsid w:val="00E568DF"/>
    <w:rsid w:val="00E64269"/>
    <w:rsid w:val="00E66797"/>
    <w:rsid w:val="00E82267"/>
    <w:rsid w:val="00E853CE"/>
    <w:rsid w:val="00E867B6"/>
    <w:rsid w:val="00E87F08"/>
    <w:rsid w:val="00EA010F"/>
    <w:rsid w:val="00ED1B63"/>
    <w:rsid w:val="00ED3C1F"/>
    <w:rsid w:val="00ED4085"/>
    <w:rsid w:val="00ED420E"/>
    <w:rsid w:val="00ED6FBE"/>
    <w:rsid w:val="00EE2F57"/>
    <w:rsid w:val="00EF4C34"/>
    <w:rsid w:val="00EF53A1"/>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AA5871"/>
    <w:rsid w:val="047E53B6"/>
    <w:rsid w:val="097D3EDD"/>
    <w:rsid w:val="0B05023F"/>
    <w:rsid w:val="0BD57275"/>
    <w:rsid w:val="0D281F54"/>
    <w:rsid w:val="10C055FF"/>
    <w:rsid w:val="16BB723D"/>
    <w:rsid w:val="18296B0B"/>
    <w:rsid w:val="1A3B5A62"/>
    <w:rsid w:val="1D7B17E9"/>
    <w:rsid w:val="1F7B7548"/>
    <w:rsid w:val="209F3A25"/>
    <w:rsid w:val="212B18AB"/>
    <w:rsid w:val="240371BF"/>
    <w:rsid w:val="24115825"/>
    <w:rsid w:val="25A32CEF"/>
    <w:rsid w:val="273B24D0"/>
    <w:rsid w:val="29490A2F"/>
    <w:rsid w:val="29FD04D3"/>
    <w:rsid w:val="2AE8196F"/>
    <w:rsid w:val="319F7F4E"/>
    <w:rsid w:val="35DD1696"/>
    <w:rsid w:val="35ED067D"/>
    <w:rsid w:val="37C33FCA"/>
    <w:rsid w:val="39C61F90"/>
    <w:rsid w:val="40862BED"/>
    <w:rsid w:val="4262021C"/>
    <w:rsid w:val="4796124F"/>
    <w:rsid w:val="47A85AAA"/>
    <w:rsid w:val="48BF5410"/>
    <w:rsid w:val="4A0F01C9"/>
    <w:rsid w:val="4E034E90"/>
    <w:rsid w:val="4ECE2238"/>
    <w:rsid w:val="500A38E9"/>
    <w:rsid w:val="508841E9"/>
    <w:rsid w:val="55322108"/>
    <w:rsid w:val="5AE80FD6"/>
    <w:rsid w:val="5AED4536"/>
    <w:rsid w:val="64A61256"/>
    <w:rsid w:val="65DE3082"/>
    <w:rsid w:val="67250A52"/>
    <w:rsid w:val="6B2F224A"/>
    <w:rsid w:val="72734D90"/>
    <w:rsid w:val="738D4FF8"/>
    <w:rsid w:val="7781097F"/>
    <w:rsid w:val="7AE57E2A"/>
    <w:rsid w:val="7D0616D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3"/>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link w:val="29"/>
    <w:semiHidden/>
    <w:unhideWhenUsed/>
    <w:qFormat/>
    <w:uiPriority w:val="99"/>
    <w:rPr>
      <w:sz w:val="18"/>
      <w:szCs w:val="18"/>
    </w:rPr>
  </w:style>
  <w:style w:type="paragraph" w:styleId="8">
    <w:name w:val="footer"/>
    <w:basedOn w:val="1"/>
    <w:link w:val="21"/>
    <w:qFormat/>
    <w:uiPriority w:val="0"/>
    <w:pPr>
      <w:tabs>
        <w:tab w:val="center" w:pos="4153"/>
        <w:tab w:val="right" w:pos="8306"/>
      </w:tabs>
      <w:snapToGrid w:val="0"/>
      <w:jc w:val="left"/>
    </w:pPr>
    <w:rPr>
      <w:rFonts w:ascii="Calibri" w:hAnsi="Calibri"/>
      <w:kern w:val="0"/>
      <w:sz w:val="18"/>
      <w:szCs w:val="18"/>
    </w:rPr>
  </w:style>
  <w:style w:type="paragraph" w:styleId="9">
    <w:name w:val="header"/>
    <w:basedOn w:val="1"/>
    <w:link w:val="19"/>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paragraph" w:styleId="12">
    <w:name w:val="Normal (Web)"/>
    <w:basedOn w:val="1"/>
    <w:semiHidden/>
    <w:unhideWhenUsed/>
    <w:qFormat/>
    <w:uiPriority w:val="99"/>
    <w:pPr>
      <w:spacing w:beforeAutospacing="1" w:afterAutospacing="1"/>
      <w:jc w:val="left"/>
    </w:pPr>
    <w:rPr>
      <w:kern w:val="0"/>
      <w:sz w:val="24"/>
    </w:rPr>
  </w:style>
  <w:style w:type="character" w:styleId="15">
    <w:name w:val="Strong"/>
    <w:basedOn w:val="14"/>
    <w:qFormat/>
    <w:uiPriority w:val="99"/>
    <w:rPr>
      <w:b/>
    </w:rPr>
  </w:style>
  <w:style w:type="character" w:styleId="16">
    <w:name w:val="page number"/>
    <w:basedOn w:val="14"/>
    <w:qFormat/>
    <w:uiPriority w:val="0"/>
  </w:style>
  <w:style w:type="character" w:styleId="17">
    <w:name w:val="Hyperlink"/>
    <w:basedOn w:val="14"/>
    <w:unhideWhenUsed/>
    <w:qFormat/>
    <w:uiPriority w:val="99"/>
    <w:rPr>
      <w:color w:val="0000FF" w:themeColor="hyperlink"/>
      <w:u w:val="single"/>
    </w:rPr>
  </w:style>
  <w:style w:type="character" w:customStyle="1" w:styleId="18">
    <w:name w:val="Header Char"/>
    <w:basedOn w:val="14"/>
    <w:semiHidden/>
    <w:qFormat/>
    <w:uiPriority w:val="99"/>
    <w:rPr>
      <w:rFonts w:ascii="Times New Roman" w:hAnsi="Times New Roman"/>
      <w:sz w:val="18"/>
      <w:szCs w:val="18"/>
    </w:rPr>
  </w:style>
  <w:style w:type="character" w:customStyle="1" w:styleId="19">
    <w:name w:val="页眉 Char"/>
    <w:link w:val="9"/>
    <w:semiHidden/>
    <w:qFormat/>
    <w:locked/>
    <w:uiPriority w:val="99"/>
    <w:rPr>
      <w:sz w:val="18"/>
    </w:rPr>
  </w:style>
  <w:style w:type="character" w:customStyle="1" w:styleId="20">
    <w:name w:val="Footer Char"/>
    <w:basedOn w:val="14"/>
    <w:semiHidden/>
    <w:qFormat/>
    <w:uiPriority w:val="99"/>
    <w:rPr>
      <w:rFonts w:ascii="Times New Roman" w:hAnsi="Times New Roman"/>
      <w:sz w:val="18"/>
      <w:szCs w:val="18"/>
    </w:rPr>
  </w:style>
  <w:style w:type="character" w:customStyle="1" w:styleId="21">
    <w:name w:val="页脚 Char"/>
    <w:link w:val="8"/>
    <w:qFormat/>
    <w:locked/>
    <w:uiPriority w:val="0"/>
    <w:rPr>
      <w:sz w:val="18"/>
    </w:rPr>
  </w:style>
  <w:style w:type="character" w:customStyle="1" w:styleId="22">
    <w:name w:val="Body Text Char"/>
    <w:basedOn w:val="14"/>
    <w:semiHidden/>
    <w:qFormat/>
    <w:uiPriority w:val="99"/>
    <w:rPr>
      <w:rFonts w:ascii="Times New Roman" w:hAnsi="Times New Roman"/>
      <w:szCs w:val="24"/>
    </w:rPr>
  </w:style>
  <w:style w:type="character" w:customStyle="1" w:styleId="23">
    <w:name w:val="正文文本 Char"/>
    <w:link w:val="5"/>
    <w:qFormat/>
    <w:locked/>
    <w:uiPriority w:val="99"/>
    <w:rPr>
      <w:rFonts w:ascii="仿宋_GB2312" w:hAnsi="Times New Roman" w:eastAsia="仿宋_GB2312"/>
      <w:sz w:val="24"/>
    </w:rPr>
  </w:style>
  <w:style w:type="paragraph" w:customStyle="1" w:styleId="2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5">
    <w:name w:val="List Paragraph"/>
    <w:basedOn w:val="1"/>
    <w:qFormat/>
    <w:uiPriority w:val="34"/>
    <w:pPr>
      <w:ind w:firstLine="420" w:firstLineChars="200"/>
    </w:pPr>
  </w:style>
  <w:style w:type="character" w:customStyle="1" w:styleId="26">
    <w:name w:val="标题 1 Char"/>
    <w:basedOn w:val="14"/>
    <w:link w:val="2"/>
    <w:qFormat/>
    <w:uiPriority w:val="9"/>
    <w:rPr>
      <w:rFonts w:ascii="Times New Roman" w:hAnsi="Times New Roman"/>
      <w:b/>
      <w:bCs/>
      <w:kern w:val="44"/>
      <w:sz w:val="44"/>
      <w:szCs w:val="44"/>
    </w:rPr>
  </w:style>
  <w:style w:type="character" w:customStyle="1" w:styleId="27">
    <w:name w:val="标题 2 Char"/>
    <w:basedOn w:val="14"/>
    <w:link w:val="3"/>
    <w:qFormat/>
    <w:uiPriority w:val="9"/>
    <w:rPr>
      <w:rFonts w:asciiTheme="majorHAnsi" w:hAnsiTheme="majorHAnsi" w:eastAsiaTheme="majorEastAsia" w:cstheme="majorBidi"/>
      <w:b/>
      <w:bCs/>
      <w:kern w:val="2"/>
      <w:sz w:val="32"/>
      <w:szCs w:val="32"/>
    </w:rPr>
  </w:style>
  <w:style w:type="paragraph" w:customStyle="1" w:styleId="28">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9">
    <w:name w:val="批注框文本 Char"/>
    <w:basedOn w:val="14"/>
    <w:link w:val="7"/>
    <w:semiHidden/>
    <w:qFormat/>
    <w:uiPriority w:val="99"/>
    <w:rPr>
      <w:rFonts w:ascii="Times New Roman" w:hAnsi="Times New Roman"/>
      <w:kern w:val="2"/>
      <w:sz w:val="18"/>
      <w:szCs w:val="18"/>
    </w:rPr>
  </w:style>
  <w:style w:type="character" w:customStyle="1" w:styleId="30">
    <w:name w:val="标题 3 Char"/>
    <w:basedOn w:val="14"/>
    <w:link w:val="4"/>
    <w:qFormat/>
    <w:uiPriority w:val="9"/>
    <w:rPr>
      <w:rFonts w:ascii="Times New Roman" w:hAnsi="Times New Roman"/>
      <w:b/>
      <w:bCs/>
      <w:kern w:val="2"/>
      <w:sz w:val="32"/>
      <w:szCs w:val="32"/>
    </w:rPr>
  </w:style>
  <w:style w:type="paragraph" w:customStyle="1" w:styleId="31">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2">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839DF8-1BC2-4848-BE2D-BD635D2C47E0}">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18</Pages>
  <Words>1020</Words>
  <Characters>5815</Characters>
  <Lines>48</Lines>
  <Paragraphs>13</Paragraphs>
  <TotalTime>1</TotalTime>
  <ScaleCrop>false</ScaleCrop>
  <LinksUpToDate>false</LinksUpToDate>
  <CharactersWithSpaces>6822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2020-08-04T01:49:00Z</dcterms:created>
  <dc:creator>曹颖</dc:creator>
  <cp:lastModifiedBy>邱礼逵</cp:lastModifiedBy>
  <cp:lastPrinted>2020-07-23T02:58:00Z</cp:lastPrinted>
  <dcterms:modified xsi:type="dcterms:W3CDTF">2021-06-03T02:01:08Z</dcterms:modified>
  <dc:title>四川省***</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425689915_embed</vt:lpwstr>
  </property>
  <property fmtid="{D5CDD505-2E9C-101B-9397-08002B2CF9AE}" pid="4" name="ICV">
    <vt:lpwstr>88D39A2B4C7840E9B90566BA72805ED9</vt:lpwstr>
  </property>
</Properties>
</file>